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BEB" w:rsidRPr="00DF256B" w:rsidRDefault="00DF256B">
      <w:pPr>
        <w:rPr>
          <w:b/>
        </w:rPr>
      </w:pPr>
      <w:r w:rsidRPr="00DF256B">
        <w:rPr>
          <w:b/>
        </w:rPr>
        <w:t>ASSIGNMENT 2 SOLUTIONS</w:t>
      </w:r>
      <w:bookmarkStart w:id="0" w:name="_GoBack"/>
      <w:bookmarkEnd w:id="0"/>
    </w:p>
    <w:p w:rsidR="00934D23" w:rsidRPr="00DF256B" w:rsidRDefault="00934D23">
      <w:pPr>
        <w:rPr>
          <w:b/>
          <w:u w:val="single"/>
        </w:rPr>
      </w:pPr>
      <w:r w:rsidRPr="00DF256B">
        <w:rPr>
          <w:b/>
          <w:u w:val="single"/>
        </w:rPr>
        <w:t>Problem 2</w:t>
      </w:r>
    </w:p>
    <w:p w:rsidR="00934D23" w:rsidRDefault="00934D23" w:rsidP="00934D23">
      <w:pPr>
        <w:pStyle w:val="ListParagraph"/>
        <w:numPr>
          <w:ilvl w:val="0"/>
          <w:numId w:val="2"/>
        </w:numPr>
      </w:pPr>
    </w:p>
    <w:tbl>
      <w:tblPr>
        <w:tblW w:w="9540" w:type="dxa"/>
        <w:tblInd w:w="108" w:type="dxa"/>
        <w:tblLook w:val="04A0" w:firstRow="1" w:lastRow="0" w:firstColumn="1" w:lastColumn="0" w:noHBand="0" w:noVBand="1"/>
      </w:tblPr>
      <w:tblGrid>
        <w:gridCol w:w="1720"/>
        <w:gridCol w:w="1720"/>
        <w:gridCol w:w="993"/>
        <w:gridCol w:w="890"/>
        <w:gridCol w:w="1460"/>
        <w:gridCol w:w="1720"/>
        <w:gridCol w:w="1180"/>
      </w:tblGrid>
      <w:tr w:rsidR="00934D23" w:rsidRPr="00934D23" w:rsidTr="00934D23">
        <w:trPr>
          <w:trHeight w:val="300"/>
        </w:trPr>
        <w:tc>
          <w:tcPr>
            <w:tcW w:w="172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2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92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82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46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2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8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r>
      <w:tr w:rsidR="00934D23" w:rsidRPr="00934D23" w:rsidTr="00934D23">
        <w:trPr>
          <w:trHeight w:val="300"/>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Gender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Agree</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Disagree</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Neutral</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Agree</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Disagree</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Total</w:t>
            </w:r>
          </w:p>
        </w:tc>
      </w:tr>
      <w:tr w:rsidR="00934D23" w:rsidRPr="00934D23" w:rsidTr="00934D23">
        <w:trPr>
          <w:trHeight w:val="300"/>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Male</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33</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34</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29</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40</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165</w:t>
            </w:r>
          </w:p>
        </w:tc>
      </w:tr>
      <w:tr w:rsidR="00934D23" w:rsidRPr="00934D23" w:rsidTr="00934D23">
        <w:trPr>
          <w:trHeight w:val="300"/>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Female</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49</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51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39</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46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49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234</w:t>
            </w:r>
          </w:p>
        </w:tc>
      </w:tr>
      <w:tr w:rsidR="00934D23" w:rsidRPr="00934D23" w:rsidTr="00934D23">
        <w:trPr>
          <w:trHeight w:val="300"/>
        </w:trPr>
        <w:tc>
          <w:tcPr>
            <w:tcW w:w="1720"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20"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920"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820"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460"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20"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80"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r>
      <w:tr w:rsidR="00934D23" w:rsidRPr="00934D23" w:rsidTr="00934D23">
        <w:trPr>
          <w:trHeight w:val="300"/>
        </w:trPr>
        <w:tc>
          <w:tcPr>
            <w:tcW w:w="172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2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92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82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46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2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8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r>
      <w:tr w:rsidR="00934D23" w:rsidRPr="00934D23" w:rsidTr="00934D23">
        <w:trPr>
          <w:trHeight w:val="300"/>
        </w:trPr>
        <w:tc>
          <w:tcPr>
            <w:tcW w:w="172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2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92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82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46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2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80"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r>
      <w:tr w:rsidR="00934D23" w:rsidRPr="00934D23" w:rsidTr="00934D23">
        <w:trPr>
          <w:trHeight w:val="300"/>
        </w:trPr>
        <w:tc>
          <w:tcPr>
            <w:tcW w:w="172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Percentages</w:t>
            </w:r>
          </w:p>
        </w:tc>
        <w:tc>
          <w:tcPr>
            <w:tcW w:w="172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92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82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46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2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80"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r>
      <w:tr w:rsidR="00934D23" w:rsidRPr="00934D23" w:rsidTr="00934D23">
        <w:trPr>
          <w:trHeight w:val="300"/>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Gender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Agree</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Disagree</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Neutral</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Agree</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Disagree</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Total</w:t>
            </w:r>
          </w:p>
        </w:tc>
      </w:tr>
      <w:tr w:rsidR="00934D23" w:rsidRPr="00934D23" w:rsidTr="00934D23">
        <w:trPr>
          <w:trHeight w:val="300"/>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Male</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20%</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18%</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24%</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100%</w:t>
            </w:r>
          </w:p>
        </w:tc>
      </w:tr>
      <w:tr w:rsidR="00934D23" w:rsidRPr="00934D23" w:rsidTr="00934D23">
        <w:trPr>
          <w:trHeight w:val="300"/>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Female</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22%</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17%</w:t>
            </w: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20%</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100%</w:t>
            </w:r>
          </w:p>
        </w:tc>
      </w:tr>
    </w:tbl>
    <w:p w:rsidR="00934D23" w:rsidRDefault="00934D23" w:rsidP="00934D23">
      <w:pPr>
        <w:pStyle w:val="ListParagraph"/>
      </w:pPr>
    </w:p>
    <w:p w:rsidR="00934D23" w:rsidRDefault="00934D23" w:rsidP="00934D23">
      <w:pPr>
        <w:pStyle w:val="ListParagraph"/>
      </w:pPr>
      <w:r>
        <w:rPr>
          <w:noProof/>
        </w:rPr>
        <w:drawing>
          <wp:inline distT="0" distB="0" distL="0" distR="0" wp14:anchorId="1158335A" wp14:editId="20643BBC">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34D23" w:rsidRDefault="00934D23" w:rsidP="00934D23">
      <w:pPr>
        <w:pStyle w:val="ListParagraph"/>
      </w:pPr>
    </w:p>
    <w:p w:rsidR="00934D23" w:rsidRDefault="00934D23" w:rsidP="00934D23">
      <w:pPr>
        <w:pStyle w:val="ListParagraph"/>
        <w:numPr>
          <w:ilvl w:val="0"/>
          <w:numId w:val="2"/>
        </w:numPr>
      </w:pPr>
      <w:r>
        <w:t>.</w:t>
      </w:r>
    </w:p>
    <w:tbl>
      <w:tblPr>
        <w:tblW w:w="9652" w:type="dxa"/>
        <w:tblInd w:w="108" w:type="dxa"/>
        <w:tblLook w:val="04A0" w:firstRow="1" w:lastRow="0" w:firstColumn="1" w:lastColumn="0" w:noHBand="0" w:noVBand="1"/>
      </w:tblPr>
      <w:tblGrid>
        <w:gridCol w:w="1736"/>
        <w:gridCol w:w="1736"/>
        <w:gridCol w:w="993"/>
        <w:gridCol w:w="890"/>
        <w:gridCol w:w="1476"/>
        <w:gridCol w:w="1736"/>
        <w:gridCol w:w="1196"/>
      </w:tblGrid>
      <w:tr w:rsidR="00934D23" w:rsidRPr="00934D23" w:rsidTr="00934D23">
        <w:trPr>
          <w:trHeight w:val="300"/>
        </w:trPr>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Gender</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Agree</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Disagree</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Neutral</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Agree</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Disagree</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Total</w:t>
            </w:r>
          </w:p>
        </w:tc>
      </w:tr>
      <w:tr w:rsidR="00934D23" w:rsidRPr="00934D23" w:rsidTr="00934D23">
        <w:trPr>
          <w:trHeight w:val="300"/>
        </w:trPr>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Young</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16</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19</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15</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18</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19</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87</w:t>
            </w:r>
          </w:p>
        </w:tc>
      </w:tr>
      <w:tr w:rsidR="00934D23" w:rsidRPr="00934D23" w:rsidTr="00934D23">
        <w:trPr>
          <w:trHeight w:val="300"/>
        </w:trPr>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Middle-aged</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48</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45</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38</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48</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39</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218</w:t>
            </w:r>
          </w:p>
        </w:tc>
      </w:tr>
      <w:tr w:rsidR="00934D23" w:rsidRPr="00934D23" w:rsidTr="00934D23">
        <w:trPr>
          <w:trHeight w:val="300"/>
        </w:trPr>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Elderly</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18</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15</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20</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20</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94</w:t>
            </w:r>
          </w:p>
        </w:tc>
      </w:tr>
      <w:tr w:rsidR="00934D23" w:rsidRPr="00934D23" w:rsidTr="00934D23">
        <w:trPr>
          <w:trHeight w:val="300"/>
        </w:trPr>
        <w:tc>
          <w:tcPr>
            <w:tcW w:w="173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3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93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83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47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3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9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r>
      <w:tr w:rsidR="00934D23" w:rsidRPr="00934D23" w:rsidTr="00934D23">
        <w:trPr>
          <w:trHeight w:val="300"/>
        </w:trPr>
        <w:tc>
          <w:tcPr>
            <w:tcW w:w="1736"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36"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936"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836"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476"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36"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96" w:type="dxa"/>
            <w:tcBorders>
              <w:top w:val="nil"/>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r>
      <w:tr w:rsidR="00934D23" w:rsidRPr="00934D23" w:rsidTr="00934D23">
        <w:trPr>
          <w:trHeight w:val="300"/>
        </w:trPr>
        <w:tc>
          <w:tcPr>
            <w:tcW w:w="173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Percentages</w:t>
            </w:r>
          </w:p>
        </w:tc>
        <w:tc>
          <w:tcPr>
            <w:tcW w:w="173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93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83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47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3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9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r>
      <w:tr w:rsidR="00934D23" w:rsidRPr="00934D23" w:rsidTr="00934D23">
        <w:trPr>
          <w:trHeight w:val="300"/>
        </w:trPr>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Gender</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Agree</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Disagree</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Neutral</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Agree</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Disagree</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Total</w:t>
            </w:r>
          </w:p>
        </w:tc>
      </w:tr>
      <w:tr w:rsidR="00934D23" w:rsidRPr="00934D23" w:rsidTr="00934D23">
        <w:trPr>
          <w:trHeight w:val="300"/>
        </w:trPr>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Young</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18%</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22%</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17%</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100%</w:t>
            </w:r>
          </w:p>
        </w:tc>
      </w:tr>
      <w:tr w:rsidR="00934D23" w:rsidRPr="00934D23" w:rsidTr="00934D23">
        <w:trPr>
          <w:trHeight w:val="300"/>
        </w:trPr>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Middle-aged</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22%</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17%</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22%</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18%</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100%</w:t>
            </w:r>
          </w:p>
        </w:tc>
      </w:tr>
      <w:tr w:rsidR="00934D23" w:rsidRPr="00934D23" w:rsidTr="00934D23">
        <w:trPr>
          <w:trHeight w:val="300"/>
        </w:trPr>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Elderly</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19%</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22%</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16%</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100%</w:t>
            </w:r>
          </w:p>
        </w:tc>
      </w:tr>
    </w:tbl>
    <w:p w:rsidR="00934D23" w:rsidRDefault="00934D23" w:rsidP="00934D23">
      <w:pPr>
        <w:pStyle w:val="ListParagraph"/>
      </w:pPr>
    </w:p>
    <w:p w:rsidR="00934D23" w:rsidRDefault="00934D23" w:rsidP="00934D23">
      <w:pPr>
        <w:pStyle w:val="ListParagraph"/>
      </w:pPr>
      <w:r>
        <w:rPr>
          <w:noProof/>
        </w:rPr>
        <w:drawing>
          <wp:inline distT="0" distB="0" distL="0" distR="0" wp14:anchorId="6727D3D4" wp14:editId="708E7E6E">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34D23" w:rsidRDefault="00934D23" w:rsidP="00934D23">
      <w:pPr>
        <w:pStyle w:val="ListParagraph"/>
      </w:pPr>
    </w:p>
    <w:p w:rsidR="00934D23" w:rsidRDefault="00934D23" w:rsidP="00934D23">
      <w:pPr>
        <w:pStyle w:val="ListParagraph"/>
        <w:numPr>
          <w:ilvl w:val="0"/>
          <w:numId w:val="2"/>
        </w:numPr>
      </w:pPr>
      <w:r>
        <w:t>.</w:t>
      </w:r>
    </w:p>
    <w:tbl>
      <w:tblPr>
        <w:tblW w:w="9572" w:type="dxa"/>
        <w:tblInd w:w="108" w:type="dxa"/>
        <w:tblLook w:val="04A0" w:firstRow="1" w:lastRow="0" w:firstColumn="1" w:lastColumn="0" w:noHBand="0" w:noVBand="1"/>
      </w:tblPr>
      <w:tblGrid>
        <w:gridCol w:w="2276"/>
        <w:gridCol w:w="1116"/>
        <w:gridCol w:w="993"/>
        <w:gridCol w:w="890"/>
        <w:gridCol w:w="1476"/>
        <w:gridCol w:w="1736"/>
        <w:gridCol w:w="1196"/>
      </w:tblGrid>
      <w:tr w:rsidR="00934D23" w:rsidRPr="00934D23" w:rsidTr="00934D23">
        <w:trPr>
          <w:trHeight w:val="300"/>
        </w:trPr>
        <w:tc>
          <w:tcPr>
            <w:tcW w:w="2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Salary</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Agree</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Disagree</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Neutral</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Agree</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Disagree</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Grand Total</w:t>
            </w:r>
          </w:p>
        </w:tc>
      </w:tr>
      <w:tr w:rsidR="00934D23" w:rsidRPr="00934D23" w:rsidTr="00934D23">
        <w:trPr>
          <w:trHeight w:val="300"/>
        </w:trPr>
        <w:tc>
          <w:tcPr>
            <w:tcW w:w="2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Between 40k and &amp;70k</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30</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20</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25</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23</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119</w:t>
            </w:r>
          </w:p>
        </w:tc>
      </w:tr>
      <w:tr w:rsidR="00934D23" w:rsidRPr="00934D23" w:rsidTr="00934D23">
        <w:trPr>
          <w:trHeight w:val="300"/>
        </w:trPr>
        <w:tc>
          <w:tcPr>
            <w:tcW w:w="2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Between 70k and 100k</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40</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32</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30</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34</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33</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169</w:t>
            </w:r>
          </w:p>
        </w:tc>
      </w:tr>
      <w:tr w:rsidR="00934D23" w:rsidRPr="00934D23" w:rsidTr="00934D23">
        <w:trPr>
          <w:trHeight w:val="300"/>
        </w:trPr>
        <w:tc>
          <w:tcPr>
            <w:tcW w:w="2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Greater than 100k</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18</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17</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13</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19</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18</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85</w:t>
            </w:r>
          </w:p>
        </w:tc>
      </w:tr>
      <w:tr w:rsidR="00934D23" w:rsidRPr="00934D23" w:rsidTr="00934D23">
        <w:trPr>
          <w:trHeight w:val="300"/>
        </w:trPr>
        <w:tc>
          <w:tcPr>
            <w:tcW w:w="2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 xml:space="preserve">Less </w:t>
            </w:r>
            <w:proofErr w:type="spellStart"/>
            <w:r w:rsidRPr="00934D23">
              <w:rPr>
                <w:rFonts w:ascii="Calibri" w:eastAsia="Times New Roman" w:hAnsi="Calibri" w:cs="Calibri"/>
                <w:color w:val="000000"/>
              </w:rPr>
              <w:t>tha</w:t>
            </w:r>
            <w:proofErr w:type="spellEnd"/>
            <w:r w:rsidRPr="00934D23">
              <w:rPr>
                <w:rFonts w:ascii="Calibri" w:eastAsia="Times New Roman" w:hAnsi="Calibri" w:cs="Calibri"/>
                <w:color w:val="000000"/>
              </w:rPr>
              <w:t xml:space="preserve"> 40k</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6</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5</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8</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4</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26</w:t>
            </w:r>
          </w:p>
        </w:tc>
      </w:tr>
      <w:tr w:rsidR="00934D23" w:rsidRPr="00934D23" w:rsidTr="00934D23">
        <w:trPr>
          <w:trHeight w:val="300"/>
        </w:trPr>
        <w:tc>
          <w:tcPr>
            <w:tcW w:w="227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1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93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83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47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3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96" w:type="dxa"/>
            <w:tcBorders>
              <w:top w:val="single" w:sz="4" w:space="0" w:color="auto"/>
              <w:left w:val="nil"/>
              <w:bottom w:val="nil"/>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r>
      <w:tr w:rsidR="00934D23" w:rsidRPr="00934D23" w:rsidTr="00934D23">
        <w:trPr>
          <w:trHeight w:val="300"/>
        </w:trPr>
        <w:tc>
          <w:tcPr>
            <w:tcW w:w="227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1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93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83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47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73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c>
          <w:tcPr>
            <w:tcW w:w="1196" w:type="dxa"/>
            <w:tcBorders>
              <w:top w:val="nil"/>
              <w:left w:val="nil"/>
              <w:bottom w:val="single" w:sz="4" w:space="0" w:color="auto"/>
              <w:right w:val="nil"/>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p>
        </w:tc>
      </w:tr>
      <w:tr w:rsidR="00934D23" w:rsidRPr="00934D23" w:rsidTr="00934D23">
        <w:trPr>
          <w:trHeight w:val="300"/>
        </w:trPr>
        <w:tc>
          <w:tcPr>
            <w:tcW w:w="2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Salary</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Agree</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Disagree</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Neutral</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Agree</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Strongly Disagree</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Grand Total</w:t>
            </w:r>
          </w:p>
        </w:tc>
      </w:tr>
      <w:tr w:rsidR="00934D23" w:rsidRPr="00934D23" w:rsidTr="00934D23">
        <w:trPr>
          <w:trHeight w:val="300"/>
        </w:trPr>
        <w:tc>
          <w:tcPr>
            <w:tcW w:w="2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Between 40k and &amp;70k</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18%</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25%</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17%</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19%</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100%</w:t>
            </w:r>
          </w:p>
        </w:tc>
      </w:tr>
      <w:tr w:rsidR="00934D23" w:rsidRPr="00934D23" w:rsidTr="00934D23">
        <w:trPr>
          <w:trHeight w:val="300"/>
        </w:trPr>
        <w:tc>
          <w:tcPr>
            <w:tcW w:w="2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Between 70k and 100k</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24%</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19%</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18%</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20%</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20%</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100%</w:t>
            </w:r>
          </w:p>
        </w:tc>
      </w:tr>
      <w:tr w:rsidR="00934D23" w:rsidRPr="00934D23" w:rsidTr="00934D23">
        <w:trPr>
          <w:trHeight w:val="300"/>
        </w:trPr>
        <w:tc>
          <w:tcPr>
            <w:tcW w:w="2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Greater than 100k</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20%</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15%</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22%</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100%</w:t>
            </w:r>
          </w:p>
        </w:tc>
      </w:tr>
      <w:tr w:rsidR="00934D23" w:rsidRPr="00934D23" w:rsidTr="00934D23">
        <w:trPr>
          <w:trHeight w:val="300"/>
        </w:trPr>
        <w:tc>
          <w:tcPr>
            <w:tcW w:w="2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rPr>
                <w:rFonts w:ascii="Calibri" w:eastAsia="Times New Roman" w:hAnsi="Calibri" w:cs="Calibri"/>
                <w:color w:val="000000"/>
              </w:rPr>
            </w:pPr>
            <w:r w:rsidRPr="00934D23">
              <w:rPr>
                <w:rFonts w:ascii="Calibri" w:eastAsia="Times New Roman" w:hAnsi="Calibri" w:cs="Calibri"/>
                <w:color w:val="000000"/>
              </w:rPr>
              <w:t xml:space="preserve">Less </w:t>
            </w:r>
            <w:proofErr w:type="spellStart"/>
            <w:r w:rsidRPr="00934D23">
              <w:rPr>
                <w:rFonts w:ascii="Calibri" w:eastAsia="Times New Roman" w:hAnsi="Calibri" w:cs="Calibri"/>
                <w:color w:val="000000"/>
              </w:rPr>
              <w:t>tha</w:t>
            </w:r>
            <w:proofErr w:type="spellEnd"/>
            <w:r w:rsidRPr="00934D23">
              <w:rPr>
                <w:rFonts w:ascii="Calibri" w:eastAsia="Times New Roman" w:hAnsi="Calibri" w:cs="Calibri"/>
                <w:color w:val="000000"/>
              </w:rPr>
              <w:t xml:space="preserve"> 40k</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12%</w:t>
            </w:r>
          </w:p>
        </w:tc>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23%</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19%</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31%</w:t>
            </w:r>
          </w:p>
        </w:tc>
        <w:tc>
          <w:tcPr>
            <w:tcW w:w="17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15%</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34D23" w:rsidRPr="00934D23" w:rsidRDefault="00934D23" w:rsidP="00934D23">
            <w:pPr>
              <w:spacing w:after="0" w:line="240" w:lineRule="auto"/>
              <w:jc w:val="right"/>
              <w:rPr>
                <w:rFonts w:ascii="Calibri" w:eastAsia="Times New Roman" w:hAnsi="Calibri" w:cs="Calibri"/>
                <w:color w:val="000000"/>
              </w:rPr>
            </w:pPr>
            <w:r w:rsidRPr="00934D23">
              <w:rPr>
                <w:rFonts w:ascii="Calibri" w:eastAsia="Times New Roman" w:hAnsi="Calibri" w:cs="Calibri"/>
                <w:color w:val="000000"/>
              </w:rPr>
              <w:t>100%</w:t>
            </w:r>
          </w:p>
        </w:tc>
      </w:tr>
    </w:tbl>
    <w:p w:rsidR="00934D23" w:rsidRDefault="00934D23" w:rsidP="00934D23">
      <w:pPr>
        <w:pStyle w:val="ListParagraph"/>
      </w:pPr>
    </w:p>
    <w:p w:rsidR="00934D23" w:rsidRDefault="00934D23" w:rsidP="00934D23">
      <w:pPr>
        <w:pStyle w:val="ListParagraph"/>
      </w:pPr>
      <w:r>
        <w:rPr>
          <w:noProof/>
        </w:rPr>
        <w:lastRenderedPageBreak/>
        <w:drawing>
          <wp:inline distT="0" distB="0" distL="0" distR="0" wp14:anchorId="6A4B6FEE" wp14:editId="2B853CB5">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pPr>
    </w:p>
    <w:p w:rsidR="00934D23" w:rsidRDefault="00934D23" w:rsidP="00934D23">
      <w:pPr>
        <w:pStyle w:val="ListParagraph"/>
        <w:rPr>
          <w:b/>
          <w:u w:val="single"/>
        </w:rPr>
      </w:pPr>
      <w:r w:rsidRPr="00DF256B">
        <w:rPr>
          <w:b/>
          <w:u w:val="single"/>
        </w:rPr>
        <w:lastRenderedPageBreak/>
        <w:t>Problem 8</w:t>
      </w:r>
    </w:p>
    <w:p w:rsidR="00DF256B" w:rsidRPr="00DF256B" w:rsidRDefault="00DF256B" w:rsidP="00DF256B">
      <w:pPr>
        <w:pStyle w:val="ListParagraph"/>
        <w:numPr>
          <w:ilvl w:val="0"/>
          <w:numId w:val="5"/>
        </w:numPr>
      </w:pPr>
    </w:p>
    <w:tbl>
      <w:tblPr>
        <w:tblW w:w="6820" w:type="dxa"/>
        <w:tblInd w:w="103" w:type="dxa"/>
        <w:tblLook w:val="04A0" w:firstRow="1" w:lastRow="0" w:firstColumn="1" w:lastColumn="0" w:noHBand="0" w:noVBand="1"/>
      </w:tblPr>
      <w:tblGrid>
        <w:gridCol w:w="2080"/>
        <w:gridCol w:w="1720"/>
        <w:gridCol w:w="1060"/>
        <w:gridCol w:w="1960"/>
      </w:tblGrid>
      <w:tr w:rsidR="00AD6155" w:rsidRPr="00AD6155" w:rsidTr="00AD6155">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Gender</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Mean</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Median</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b/>
                <w:bCs/>
                <w:color w:val="000000"/>
              </w:rPr>
            </w:pPr>
            <w:proofErr w:type="spellStart"/>
            <w:r w:rsidRPr="00AD6155">
              <w:rPr>
                <w:rFonts w:ascii="Calibri" w:eastAsia="Times New Roman" w:hAnsi="Calibri" w:cs="Calibri"/>
                <w:b/>
                <w:bCs/>
                <w:color w:val="000000"/>
              </w:rPr>
              <w:t>Satandard</w:t>
            </w:r>
            <w:proofErr w:type="spellEnd"/>
            <w:r w:rsidRPr="00AD6155">
              <w:rPr>
                <w:rFonts w:ascii="Calibri" w:eastAsia="Times New Roman" w:hAnsi="Calibri" w:cs="Calibri"/>
                <w:b/>
                <w:bCs/>
                <w:color w:val="000000"/>
              </w:rPr>
              <w:t xml:space="preserve"> Deviation</w:t>
            </w:r>
          </w:p>
        </w:tc>
      </w:tr>
      <w:tr w:rsidR="00AD6155" w:rsidRPr="00AD6155" w:rsidTr="00AD6155">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color w:val="000000"/>
              </w:rPr>
            </w:pPr>
            <w:r w:rsidRPr="00AD6155">
              <w:rPr>
                <w:rFonts w:ascii="Calibri" w:eastAsia="Times New Roman" w:hAnsi="Calibri" w:cs="Calibri"/>
                <w:color w:val="000000"/>
              </w:rPr>
              <w:t>Male</w:t>
            </w:r>
          </w:p>
        </w:tc>
        <w:tc>
          <w:tcPr>
            <w:tcW w:w="172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74851.85185</w:t>
            </w:r>
          </w:p>
        </w:tc>
        <w:tc>
          <w:tcPr>
            <w:tcW w:w="106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71800</w:t>
            </w:r>
          </w:p>
        </w:tc>
        <w:tc>
          <w:tcPr>
            <w:tcW w:w="196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32014.05594</w:t>
            </w:r>
          </w:p>
        </w:tc>
      </w:tr>
      <w:tr w:rsidR="00AD6155" w:rsidRPr="00AD6155" w:rsidTr="00AD6155">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color w:val="000000"/>
              </w:rPr>
            </w:pPr>
            <w:r w:rsidRPr="00AD6155">
              <w:rPr>
                <w:rFonts w:ascii="Calibri" w:eastAsia="Times New Roman" w:hAnsi="Calibri" w:cs="Calibri"/>
                <w:color w:val="000000"/>
              </w:rPr>
              <w:t>Female</w:t>
            </w:r>
          </w:p>
        </w:tc>
        <w:tc>
          <w:tcPr>
            <w:tcW w:w="172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75687.5</w:t>
            </w:r>
          </w:p>
        </w:tc>
        <w:tc>
          <w:tcPr>
            <w:tcW w:w="106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74100</w:t>
            </w:r>
          </w:p>
        </w:tc>
        <w:tc>
          <w:tcPr>
            <w:tcW w:w="196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33977.21315</w:t>
            </w:r>
          </w:p>
        </w:tc>
      </w:tr>
    </w:tbl>
    <w:p w:rsidR="00934D23" w:rsidRDefault="00934D23" w:rsidP="00934D23">
      <w:pPr>
        <w:pStyle w:val="ListParagraph"/>
      </w:pPr>
    </w:p>
    <w:p w:rsidR="00AD6155" w:rsidRDefault="00AD6155" w:rsidP="00DF256B">
      <w:pPr>
        <w:pStyle w:val="ListParagraph"/>
        <w:numPr>
          <w:ilvl w:val="0"/>
          <w:numId w:val="5"/>
        </w:numPr>
      </w:pPr>
    </w:p>
    <w:tbl>
      <w:tblPr>
        <w:tblW w:w="6720" w:type="dxa"/>
        <w:tblInd w:w="103" w:type="dxa"/>
        <w:tblLook w:val="04A0" w:firstRow="1" w:lastRow="0" w:firstColumn="1" w:lastColumn="0" w:noHBand="0" w:noVBand="1"/>
      </w:tblPr>
      <w:tblGrid>
        <w:gridCol w:w="2080"/>
        <w:gridCol w:w="1720"/>
        <w:gridCol w:w="1060"/>
        <w:gridCol w:w="1860"/>
      </w:tblGrid>
      <w:tr w:rsidR="00AD6155" w:rsidRPr="00AD6155" w:rsidTr="00AD6155">
        <w:trPr>
          <w:trHeight w:val="300"/>
        </w:trPr>
        <w:tc>
          <w:tcPr>
            <w:tcW w:w="208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Education</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Mean</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Median</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Standard deviation</w:t>
            </w:r>
          </w:p>
        </w:tc>
      </w:tr>
      <w:tr w:rsidR="00AD6155" w:rsidRPr="00AD6155" w:rsidTr="00AD6155">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color w:val="000000"/>
              </w:rPr>
            </w:pPr>
            <w:r w:rsidRPr="00AD6155">
              <w:rPr>
                <w:rFonts w:ascii="Calibri" w:eastAsia="Times New Roman" w:hAnsi="Calibri" w:cs="Calibri"/>
                <w:color w:val="000000"/>
              </w:rPr>
              <w:t>1</w:t>
            </w:r>
          </w:p>
        </w:tc>
        <w:tc>
          <w:tcPr>
            <w:tcW w:w="172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39867.85714</w:t>
            </w:r>
          </w:p>
        </w:tc>
        <w:tc>
          <w:tcPr>
            <w:tcW w:w="106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31350</w:t>
            </w:r>
          </w:p>
        </w:tc>
        <w:tc>
          <w:tcPr>
            <w:tcW w:w="186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24105.12553</w:t>
            </w:r>
          </w:p>
        </w:tc>
      </w:tr>
      <w:tr w:rsidR="00AD6155" w:rsidRPr="00AD6155" w:rsidTr="00AD6155">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color w:val="000000"/>
              </w:rPr>
            </w:pPr>
            <w:r w:rsidRPr="00AD6155">
              <w:rPr>
                <w:rFonts w:ascii="Calibri" w:eastAsia="Times New Roman" w:hAnsi="Calibri" w:cs="Calibri"/>
                <w:color w:val="000000"/>
              </w:rPr>
              <w:t>2</w:t>
            </w:r>
          </w:p>
        </w:tc>
        <w:tc>
          <w:tcPr>
            <w:tcW w:w="172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77942.85714</w:t>
            </w:r>
          </w:p>
        </w:tc>
        <w:tc>
          <w:tcPr>
            <w:tcW w:w="106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72200</w:t>
            </w:r>
          </w:p>
        </w:tc>
        <w:tc>
          <w:tcPr>
            <w:tcW w:w="186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34409.07991</w:t>
            </w:r>
          </w:p>
        </w:tc>
      </w:tr>
      <w:tr w:rsidR="00AD6155" w:rsidRPr="00AD6155" w:rsidTr="00AD6155">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color w:val="000000"/>
              </w:rPr>
            </w:pPr>
            <w:r w:rsidRPr="00AD6155">
              <w:rPr>
                <w:rFonts w:ascii="Calibri" w:eastAsia="Times New Roman" w:hAnsi="Calibri" w:cs="Calibri"/>
                <w:color w:val="000000"/>
              </w:rPr>
              <w:t>3</w:t>
            </w:r>
          </w:p>
        </w:tc>
        <w:tc>
          <w:tcPr>
            <w:tcW w:w="172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88808.47458</w:t>
            </w:r>
          </w:p>
        </w:tc>
        <w:tc>
          <w:tcPr>
            <w:tcW w:w="106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82400</w:t>
            </w:r>
          </w:p>
        </w:tc>
        <w:tc>
          <w:tcPr>
            <w:tcW w:w="186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30949.04203</w:t>
            </w:r>
          </w:p>
        </w:tc>
      </w:tr>
    </w:tbl>
    <w:p w:rsidR="00AD6155" w:rsidRDefault="00AD6155" w:rsidP="00934D23">
      <w:pPr>
        <w:pStyle w:val="ListParagraph"/>
      </w:pPr>
    </w:p>
    <w:p w:rsidR="00AD6155" w:rsidRDefault="00AD6155" w:rsidP="00DF256B">
      <w:pPr>
        <w:pStyle w:val="ListParagraph"/>
        <w:numPr>
          <w:ilvl w:val="0"/>
          <w:numId w:val="5"/>
        </w:numPr>
      </w:pPr>
    </w:p>
    <w:tbl>
      <w:tblPr>
        <w:tblW w:w="6640" w:type="dxa"/>
        <w:tblInd w:w="103" w:type="dxa"/>
        <w:tblLook w:val="04A0" w:firstRow="1" w:lastRow="0" w:firstColumn="1" w:lastColumn="0" w:noHBand="0" w:noVBand="1"/>
      </w:tblPr>
      <w:tblGrid>
        <w:gridCol w:w="2080"/>
        <w:gridCol w:w="1720"/>
        <w:gridCol w:w="940"/>
        <w:gridCol w:w="1900"/>
      </w:tblGrid>
      <w:tr w:rsidR="00AD6155" w:rsidRPr="00AD6155" w:rsidTr="00AD6155">
        <w:trPr>
          <w:trHeight w:val="300"/>
        </w:trPr>
        <w:tc>
          <w:tcPr>
            <w:tcW w:w="208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Age</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Mean</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Median</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b/>
                <w:bCs/>
                <w:color w:val="000000"/>
              </w:rPr>
            </w:pPr>
            <w:r w:rsidRPr="00AD6155">
              <w:rPr>
                <w:rFonts w:ascii="Calibri" w:eastAsia="Times New Roman" w:hAnsi="Calibri" w:cs="Calibri"/>
                <w:b/>
                <w:bCs/>
                <w:color w:val="000000"/>
              </w:rPr>
              <w:t>Standard Deviation</w:t>
            </w:r>
          </w:p>
        </w:tc>
      </w:tr>
      <w:tr w:rsidR="00AD6155" w:rsidRPr="00AD6155" w:rsidTr="00AD6155">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color w:val="000000"/>
              </w:rPr>
            </w:pPr>
            <w:r w:rsidRPr="00AD6155">
              <w:rPr>
                <w:rFonts w:ascii="Calibri" w:eastAsia="Times New Roman" w:hAnsi="Calibri" w:cs="Calibri"/>
                <w:color w:val="000000"/>
              </w:rPr>
              <w:t>Middle-aged</w:t>
            </w:r>
          </w:p>
        </w:tc>
        <w:tc>
          <w:tcPr>
            <w:tcW w:w="172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76551.08696</w:t>
            </w:r>
          </w:p>
        </w:tc>
        <w:tc>
          <w:tcPr>
            <w:tcW w:w="94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73300</w:t>
            </w:r>
          </w:p>
        </w:tc>
        <w:tc>
          <w:tcPr>
            <w:tcW w:w="190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32146.95479</w:t>
            </w:r>
          </w:p>
        </w:tc>
      </w:tr>
      <w:tr w:rsidR="00AD6155" w:rsidRPr="00AD6155" w:rsidTr="00AD6155">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color w:val="000000"/>
              </w:rPr>
            </w:pPr>
            <w:r w:rsidRPr="00AD6155">
              <w:rPr>
                <w:rFonts w:ascii="Calibri" w:eastAsia="Times New Roman" w:hAnsi="Calibri" w:cs="Calibri"/>
                <w:color w:val="000000"/>
              </w:rPr>
              <w:t>Older</w:t>
            </w:r>
          </w:p>
        </w:tc>
        <w:tc>
          <w:tcPr>
            <w:tcW w:w="172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92239.39394</w:t>
            </w:r>
          </w:p>
        </w:tc>
        <w:tc>
          <w:tcPr>
            <w:tcW w:w="94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92700</w:t>
            </w:r>
          </w:p>
        </w:tc>
        <w:tc>
          <w:tcPr>
            <w:tcW w:w="190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38374.58419</w:t>
            </w:r>
          </w:p>
        </w:tc>
      </w:tr>
      <w:tr w:rsidR="00AD6155" w:rsidRPr="00AD6155" w:rsidTr="00AD6155">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rPr>
                <w:rFonts w:ascii="Calibri" w:eastAsia="Times New Roman" w:hAnsi="Calibri" w:cs="Calibri"/>
                <w:color w:val="000000"/>
              </w:rPr>
            </w:pPr>
            <w:r w:rsidRPr="00AD6155">
              <w:rPr>
                <w:rFonts w:ascii="Calibri" w:eastAsia="Times New Roman" w:hAnsi="Calibri" w:cs="Calibri"/>
                <w:color w:val="000000"/>
              </w:rPr>
              <w:t>Young</w:t>
            </w:r>
          </w:p>
        </w:tc>
        <w:tc>
          <w:tcPr>
            <w:tcW w:w="172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62723.94366</w:t>
            </w:r>
          </w:p>
        </w:tc>
        <w:tc>
          <w:tcPr>
            <w:tcW w:w="94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60500</w:t>
            </w:r>
          </w:p>
        </w:tc>
        <w:tc>
          <w:tcPr>
            <w:tcW w:w="1900" w:type="dxa"/>
            <w:tcBorders>
              <w:top w:val="nil"/>
              <w:left w:val="nil"/>
              <w:bottom w:val="single" w:sz="4" w:space="0" w:color="auto"/>
              <w:right w:val="single" w:sz="4" w:space="0" w:color="auto"/>
            </w:tcBorders>
            <w:shd w:val="clear" w:color="auto" w:fill="auto"/>
            <w:noWrap/>
            <w:vAlign w:val="bottom"/>
            <w:hideMark/>
          </w:tcPr>
          <w:p w:rsidR="00AD6155" w:rsidRPr="00AD6155" w:rsidRDefault="00AD6155" w:rsidP="00AD6155">
            <w:pPr>
              <w:spacing w:after="0" w:line="240" w:lineRule="auto"/>
              <w:jc w:val="right"/>
              <w:rPr>
                <w:rFonts w:ascii="Calibri" w:eastAsia="Times New Roman" w:hAnsi="Calibri" w:cs="Calibri"/>
                <w:color w:val="000000"/>
              </w:rPr>
            </w:pPr>
            <w:r w:rsidRPr="00AD6155">
              <w:rPr>
                <w:rFonts w:ascii="Calibri" w:eastAsia="Times New Roman" w:hAnsi="Calibri" w:cs="Calibri"/>
                <w:color w:val="000000"/>
              </w:rPr>
              <w:t>27702.91096</w:t>
            </w:r>
          </w:p>
        </w:tc>
      </w:tr>
    </w:tbl>
    <w:p w:rsidR="00AD6155" w:rsidRDefault="00AD6155"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Pr="00DF256B" w:rsidRDefault="006F2226" w:rsidP="00934D23">
      <w:pPr>
        <w:pStyle w:val="ListParagraph"/>
        <w:rPr>
          <w:b/>
          <w:u w:val="single"/>
        </w:rPr>
      </w:pPr>
      <w:r w:rsidRPr="00DF256B">
        <w:rPr>
          <w:b/>
          <w:u w:val="single"/>
        </w:rPr>
        <w:t>Problem 21</w:t>
      </w:r>
    </w:p>
    <w:p w:rsidR="006F2226" w:rsidRDefault="006F2226" w:rsidP="00D258EB">
      <w:pPr>
        <w:pStyle w:val="ListParagraph"/>
        <w:numPr>
          <w:ilvl w:val="0"/>
          <w:numId w:val="4"/>
        </w:numPr>
      </w:pPr>
    </w:p>
    <w:tbl>
      <w:tblPr>
        <w:tblW w:w="10140" w:type="dxa"/>
        <w:tblInd w:w="108" w:type="dxa"/>
        <w:tblLook w:val="04A0" w:firstRow="1" w:lastRow="0" w:firstColumn="1" w:lastColumn="0" w:noHBand="0" w:noVBand="1"/>
      </w:tblPr>
      <w:tblGrid>
        <w:gridCol w:w="1910"/>
        <w:gridCol w:w="1526"/>
        <w:gridCol w:w="2036"/>
        <w:gridCol w:w="1796"/>
        <w:gridCol w:w="1396"/>
        <w:gridCol w:w="1476"/>
      </w:tblGrid>
      <w:tr w:rsidR="006F2226" w:rsidRPr="006F2226" w:rsidTr="006F2226">
        <w:trPr>
          <w:trHeight w:val="315"/>
        </w:trPr>
        <w:tc>
          <w:tcPr>
            <w:tcW w:w="3436" w:type="dxa"/>
            <w:gridSpan w:val="2"/>
            <w:tcBorders>
              <w:top w:val="nil"/>
              <w:left w:val="nil"/>
              <w:bottom w:val="single" w:sz="4" w:space="0" w:color="auto"/>
              <w:right w:val="nil"/>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b/>
                <w:bCs/>
                <w:color w:val="000000"/>
              </w:rPr>
            </w:pPr>
            <w:r w:rsidRPr="006F2226">
              <w:rPr>
                <w:rFonts w:ascii="Calibri" w:eastAsia="Times New Roman" w:hAnsi="Calibri" w:cs="Calibri"/>
                <w:b/>
                <w:bCs/>
                <w:color w:val="000000"/>
              </w:rPr>
              <w:t>Table of Correlations</w:t>
            </w:r>
          </w:p>
        </w:tc>
        <w:tc>
          <w:tcPr>
            <w:tcW w:w="2036" w:type="dxa"/>
            <w:tcBorders>
              <w:top w:val="nil"/>
              <w:left w:val="nil"/>
              <w:bottom w:val="single" w:sz="4" w:space="0" w:color="auto"/>
              <w:right w:val="nil"/>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c>
          <w:tcPr>
            <w:tcW w:w="1796" w:type="dxa"/>
            <w:tcBorders>
              <w:top w:val="nil"/>
              <w:left w:val="nil"/>
              <w:bottom w:val="single" w:sz="4" w:space="0" w:color="auto"/>
              <w:right w:val="nil"/>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c>
          <w:tcPr>
            <w:tcW w:w="1396" w:type="dxa"/>
            <w:tcBorders>
              <w:top w:val="nil"/>
              <w:left w:val="nil"/>
              <w:bottom w:val="single" w:sz="4" w:space="0" w:color="auto"/>
              <w:right w:val="nil"/>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c>
          <w:tcPr>
            <w:tcW w:w="1476" w:type="dxa"/>
            <w:tcBorders>
              <w:top w:val="nil"/>
              <w:left w:val="nil"/>
              <w:bottom w:val="single" w:sz="4" w:space="0" w:color="auto"/>
              <w:right w:val="nil"/>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r>
      <w:tr w:rsidR="006F2226" w:rsidRPr="006F2226" w:rsidTr="006F2226">
        <w:trPr>
          <w:trHeight w:val="300"/>
        </w:trPr>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center"/>
              <w:rPr>
                <w:rFonts w:ascii="Calibri" w:eastAsia="Times New Roman" w:hAnsi="Calibri" w:cs="Calibri"/>
                <w:i/>
                <w:iCs/>
                <w:color w:val="000000"/>
              </w:rPr>
            </w:pPr>
            <w:r w:rsidRPr="006F2226">
              <w:rPr>
                <w:rFonts w:ascii="Calibri" w:eastAsia="Times New Roman" w:hAnsi="Calibri" w:cs="Calibri"/>
                <w:i/>
                <w:iCs/>
                <w:color w:val="000000"/>
              </w:rPr>
              <w:t> </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center"/>
              <w:rPr>
                <w:rFonts w:ascii="Calibri" w:eastAsia="Times New Roman" w:hAnsi="Calibri" w:cs="Calibri"/>
                <w:i/>
                <w:iCs/>
                <w:color w:val="000000"/>
              </w:rPr>
            </w:pPr>
            <w:r w:rsidRPr="006F2226">
              <w:rPr>
                <w:rFonts w:ascii="Calibri" w:eastAsia="Times New Roman" w:hAnsi="Calibri" w:cs="Calibri"/>
                <w:i/>
                <w:iCs/>
                <w:color w:val="000000"/>
              </w:rPr>
              <w:t>Age</w:t>
            </w:r>
          </w:p>
        </w:tc>
        <w:tc>
          <w:tcPr>
            <w:tcW w:w="2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center"/>
              <w:rPr>
                <w:rFonts w:ascii="Calibri" w:eastAsia="Times New Roman" w:hAnsi="Calibri" w:cs="Calibri"/>
                <w:i/>
                <w:iCs/>
                <w:color w:val="000000"/>
              </w:rPr>
            </w:pPr>
            <w:r w:rsidRPr="006F2226">
              <w:rPr>
                <w:rFonts w:ascii="Calibri" w:eastAsia="Times New Roman" w:hAnsi="Calibri" w:cs="Calibri"/>
                <w:i/>
                <w:iCs/>
                <w:color w:val="000000"/>
              </w:rPr>
              <w:t>Prior Experience</w:t>
            </w:r>
          </w:p>
        </w:tc>
        <w:tc>
          <w:tcPr>
            <w:tcW w:w="17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center"/>
              <w:rPr>
                <w:rFonts w:ascii="Calibri" w:eastAsia="Times New Roman" w:hAnsi="Calibri" w:cs="Calibri"/>
                <w:i/>
                <w:iCs/>
                <w:color w:val="000000"/>
              </w:rPr>
            </w:pPr>
            <w:r w:rsidRPr="006F2226">
              <w:rPr>
                <w:rFonts w:ascii="Calibri" w:eastAsia="Times New Roman" w:hAnsi="Calibri" w:cs="Calibri"/>
                <w:i/>
                <w:iCs/>
                <w:color w:val="000000"/>
              </w:rPr>
              <w:t>Beta Experience</w:t>
            </w:r>
          </w:p>
        </w:tc>
        <w:tc>
          <w:tcPr>
            <w:tcW w:w="1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center"/>
              <w:rPr>
                <w:rFonts w:ascii="Calibri" w:eastAsia="Times New Roman" w:hAnsi="Calibri" w:cs="Calibri"/>
                <w:i/>
                <w:iCs/>
                <w:color w:val="000000"/>
              </w:rPr>
            </w:pPr>
            <w:r w:rsidRPr="006F2226">
              <w:rPr>
                <w:rFonts w:ascii="Calibri" w:eastAsia="Times New Roman" w:hAnsi="Calibri" w:cs="Calibri"/>
                <w:i/>
                <w:iCs/>
                <w:color w:val="000000"/>
              </w:rPr>
              <w:t>Education</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center"/>
              <w:rPr>
                <w:rFonts w:ascii="Calibri" w:eastAsia="Times New Roman" w:hAnsi="Calibri" w:cs="Calibri"/>
                <w:i/>
                <w:iCs/>
                <w:color w:val="000000"/>
              </w:rPr>
            </w:pPr>
            <w:r w:rsidRPr="006F2226">
              <w:rPr>
                <w:rFonts w:ascii="Calibri" w:eastAsia="Times New Roman" w:hAnsi="Calibri" w:cs="Calibri"/>
                <w:i/>
                <w:iCs/>
                <w:color w:val="000000"/>
              </w:rPr>
              <w:t>Annual Salary</w:t>
            </w:r>
          </w:p>
        </w:tc>
      </w:tr>
      <w:tr w:rsidR="006F2226" w:rsidRPr="006F2226" w:rsidTr="006F2226">
        <w:trPr>
          <w:trHeight w:val="300"/>
        </w:trPr>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r w:rsidRPr="006F2226">
              <w:rPr>
                <w:rFonts w:ascii="Calibri" w:eastAsia="Times New Roman" w:hAnsi="Calibri" w:cs="Calibri"/>
                <w:color w:val="000000"/>
              </w:rPr>
              <w:t>Age</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1</w:t>
            </w:r>
          </w:p>
        </w:tc>
        <w:tc>
          <w:tcPr>
            <w:tcW w:w="2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c>
          <w:tcPr>
            <w:tcW w:w="17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c>
          <w:tcPr>
            <w:tcW w:w="1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r>
      <w:tr w:rsidR="006F2226" w:rsidRPr="006F2226" w:rsidTr="006F2226">
        <w:trPr>
          <w:trHeight w:val="300"/>
        </w:trPr>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r w:rsidRPr="006F2226">
              <w:rPr>
                <w:rFonts w:ascii="Calibri" w:eastAsia="Times New Roman" w:hAnsi="Calibri" w:cs="Calibri"/>
                <w:color w:val="000000"/>
              </w:rPr>
              <w:t>Prior Experience</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0.328938028</w:t>
            </w:r>
          </w:p>
        </w:tc>
        <w:tc>
          <w:tcPr>
            <w:tcW w:w="2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1</w:t>
            </w:r>
          </w:p>
        </w:tc>
        <w:tc>
          <w:tcPr>
            <w:tcW w:w="17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c>
          <w:tcPr>
            <w:tcW w:w="1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r>
      <w:tr w:rsidR="006F2226" w:rsidRPr="006F2226" w:rsidTr="006F2226">
        <w:trPr>
          <w:trHeight w:val="300"/>
        </w:trPr>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r w:rsidRPr="006F2226">
              <w:rPr>
                <w:rFonts w:ascii="Calibri" w:eastAsia="Times New Roman" w:hAnsi="Calibri" w:cs="Calibri"/>
                <w:color w:val="000000"/>
              </w:rPr>
              <w:t>Beta Experience</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0.26906401</w:t>
            </w:r>
          </w:p>
        </w:tc>
        <w:tc>
          <w:tcPr>
            <w:tcW w:w="2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0.192090355</w:t>
            </w:r>
          </w:p>
        </w:tc>
        <w:tc>
          <w:tcPr>
            <w:tcW w:w="17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1</w:t>
            </w:r>
          </w:p>
        </w:tc>
        <w:tc>
          <w:tcPr>
            <w:tcW w:w="1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r>
      <w:tr w:rsidR="006F2226" w:rsidRPr="006F2226" w:rsidTr="006F2226">
        <w:trPr>
          <w:trHeight w:val="300"/>
        </w:trPr>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r w:rsidRPr="006F2226">
              <w:rPr>
                <w:rFonts w:ascii="Calibri" w:eastAsia="Times New Roman" w:hAnsi="Calibri" w:cs="Calibri"/>
                <w:color w:val="000000"/>
              </w:rPr>
              <w:t>Education</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0.102341549</w:t>
            </w:r>
          </w:p>
        </w:tc>
        <w:tc>
          <w:tcPr>
            <w:tcW w:w="2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0.13891933</w:t>
            </w:r>
          </w:p>
        </w:tc>
        <w:tc>
          <w:tcPr>
            <w:tcW w:w="17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0.100734274</w:t>
            </w:r>
          </w:p>
        </w:tc>
        <w:tc>
          <w:tcPr>
            <w:tcW w:w="1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1</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p>
        </w:tc>
      </w:tr>
      <w:tr w:rsidR="006F2226" w:rsidRPr="006F2226" w:rsidTr="006F2226">
        <w:trPr>
          <w:trHeight w:val="315"/>
        </w:trPr>
        <w:tc>
          <w:tcPr>
            <w:tcW w:w="1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rPr>
                <w:rFonts w:ascii="Calibri" w:eastAsia="Times New Roman" w:hAnsi="Calibri" w:cs="Calibri"/>
                <w:color w:val="000000"/>
              </w:rPr>
            </w:pPr>
            <w:r w:rsidRPr="006F2226">
              <w:rPr>
                <w:rFonts w:ascii="Calibri" w:eastAsia="Times New Roman" w:hAnsi="Calibri" w:cs="Calibri"/>
                <w:color w:val="000000"/>
              </w:rPr>
              <w:t>Annual Salary</w:t>
            </w:r>
          </w:p>
        </w:tc>
        <w:tc>
          <w:tcPr>
            <w:tcW w:w="15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0.306627166</w:t>
            </w:r>
          </w:p>
        </w:tc>
        <w:tc>
          <w:tcPr>
            <w:tcW w:w="2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0.662470072</w:t>
            </w:r>
          </w:p>
        </w:tc>
        <w:tc>
          <w:tcPr>
            <w:tcW w:w="17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0.669693619</w:t>
            </w:r>
          </w:p>
        </w:tc>
        <w:tc>
          <w:tcPr>
            <w:tcW w:w="1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0.53892062</w:t>
            </w: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F2226" w:rsidRPr="006F2226" w:rsidRDefault="006F2226" w:rsidP="006F2226">
            <w:pPr>
              <w:spacing w:after="0" w:line="240" w:lineRule="auto"/>
              <w:jc w:val="right"/>
              <w:rPr>
                <w:rFonts w:ascii="Calibri" w:eastAsia="Times New Roman" w:hAnsi="Calibri" w:cs="Calibri"/>
                <w:color w:val="000000"/>
              </w:rPr>
            </w:pPr>
            <w:r w:rsidRPr="006F2226">
              <w:rPr>
                <w:rFonts w:ascii="Calibri" w:eastAsia="Times New Roman" w:hAnsi="Calibri" w:cs="Calibri"/>
                <w:color w:val="000000"/>
              </w:rPr>
              <w:t>1</w:t>
            </w:r>
          </w:p>
        </w:tc>
      </w:tr>
    </w:tbl>
    <w:p w:rsidR="006F2226" w:rsidRDefault="006F2226" w:rsidP="00934D23">
      <w:pPr>
        <w:pStyle w:val="ListParagraph"/>
      </w:pPr>
    </w:p>
    <w:p w:rsidR="006F2226" w:rsidRDefault="005528AF" w:rsidP="005528AF">
      <w:r>
        <w:t>Beta Experience has the highest correlation with annual salary of 0.6697</w:t>
      </w:r>
    </w:p>
    <w:p w:rsidR="00D258EB" w:rsidRDefault="00D258EB" w:rsidP="00D258EB">
      <w:pPr>
        <w:pStyle w:val="ListParagraph"/>
        <w:numPr>
          <w:ilvl w:val="0"/>
          <w:numId w:val="4"/>
        </w:numPr>
      </w:pPr>
    </w:p>
    <w:p w:rsidR="006F2226" w:rsidRDefault="006F2226" w:rsidP="00934D23">
      <w:pPr>
        <w:pStyle w:val="ListParagraph"/>
      </w:pPr>
      <w:r>
        <w:rPr>
          <w:noProof/>
        </w:rPr>
        <w:drawing>
          <wp:inline distT="0" distB="0" distL="0" distR="0" wp14:anchorId="2DCBB940" wp14:editId="2AE28DE4">
            <wp:extent cx="4572000" cy="2329961"/>
            <wp:effectExtent l="0" t="0" r="19050" b="1333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r>
        <w:rPr>
          <w:noProof/>
        </w:rPr>
        <w:drawing>
          <wp:inline distT="0" distB="0" distL="0" distR="0" wp14:anchorId="48BB43D4" wp14:editId="71642F17">
            <wp:extent cx="4572000" cy="2224453"/>
            <wp:effectExtent l="0" t="0" r="19050" b="2349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F2226" w:rsidRDefault="006F2226" w:rsidP="00934D23">
      <w:pPr>
        <w:pStyle w:val="ListParagraph"/>
      </w:pPr>
    </w:p>
    <w:p w:rsidR="006F2226" w:rsidRDefault="006F2226" w:rsidP="00934D23">
      <w:pPr>
        <w:pStyle w:val="ListParagraph"/>
      </w:pPr>
      <w:r>
        <w:rPr>
          <w:noProof/>
        </w:rPr>
        <w:lastRenderedPageBreak/>
        <w:drawing>
          <wp:inline distT="0" distB="0" distL="0" distR="0" wp14:anchorId="31DD6D6C" wp14:editId="371D4663">
            <wp:extent cx="4572000" cy="2356338"/>
            <wp:effectExtent l="0" t="0" r="19050"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F2226" w:rsidRDefault="006F2226" w:rsidP="00934D23">
      <w:pPr>
        <w:pStyle w:val="ListParagraph"/>
      </w:pPr>
    </w:p>
    <w:p w:rsidR="006F2226" w:rsidRDefault="006F2226" w:rsidP="00934D23">
      <w:pPr>
        <w:pStyle w:val="ListParagraph"/>
      </w:pPr>
      <w:r>
        <w:rPr>
          <w:noProof/>
        </w:rPr>
        <w:drawing>
          <wp:inline distT="0" distB="0" distL="0" distR="0" wp14:anchorId="4779BAE3" wp14:editId="24036DC2">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F2226" w:rsidRDefault="006F2226" w:rsidP="00934D23">
      <w:pPr>
        <w:pStyle w:val="ListParagraph"/>
      </w:pPr>
    </w:p>
    <w:p w:rsidR="006F2226" w:rsidRDefault="006F2226" w:rsidP="00934D23">
      <w:pPr>
        <w:pStyle w:val="ListParagraph"/>
      </w:pPr>
    </w:p>
    <w:p w:rsidR="00D258EB" w:rsidRDefault="00D258EB" w:rsidP="00D258EB">
      <w:pPr>
        <w:pStyle w:val="ListParagraph"/>
        <w:numPr>
          <w:ilvl w:val="0"/>
          <w:numId w:val="4"/>
        </w:numPr>
      </w:pPr>
      <w:r>
        <w:t>The linear equation is y = 3263.3x + 42561. This equation implies that the annual salary does not go below 42561 and also than a unit increase in Beta experience will increase annual salary by 3263.3. The R squared is 0.4485, implying that beta experience explains 44.85% of the total variation on Annual salary.</w:t>
      </w:r>
    </w:p>
    <w:p w:rsidR="006F2226" w:rsidRDefault="006F2226" w:rsidP="00D258EB">
      <w:pPr>
        <w:pStyle w:val="ListParagraph"/>
        <w:ind w:left="1080"/>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Default="006F2226" w:rsidP="00934D23">
      <w:pPr>
        <w:pStyle w:val="ListParagraph"/>
      </w:pPr>
    </w:p>
    <w:p w:rsidR="006F2226" w:rsidRPr="00023282" w:rsidRDefault="005528AF" w:rsidP="00934D23">
      <w:pPr>
        <w:pStyle w:val="ListParagraph"/>
        <w:rPr>
          <w:b/>
          <w:u w:val="single"/>
        </w:rPr>
      </w:pPr>
      <w:r w:rsidRPr="00023282">
        <w:rPr>
          <w:b/>
          <w:u w:val="single"/>
        </w:rPr>
        <w:t>Problem 34</w:t>
      </w:r>
    </w:p>
    <w:p w:rsidR="003E7E34" w:rsidRPr="00023282" w:rsidRDefault="003E7E34" w:rsidP="003E7E34">
      <w:pPr>
        <w:pStyle w:val="ListParagraph"/>
        <w:numPr>
          <w:ilvl w:val="0"/>
          <w:numId w:val="3"/>
        </w:numPr>
        <w:rPr>
          <w:b/>
        </w:rPr>
      </w:pPr>
      <w:r w:rsidRPr="00023282">
        <w:rPr>
          <w:b/>
        </w:rPr>
        <w:t>Considering Column totals</w:t>
      </w:r>
    </w:p>
    <w:tbl>
      <w:tblPr>
        <w:tblW w:w="8532" w:type="dxa"/>
        <w:tblInd w:w="108" w:type="dxa"/>
        <w:tblLook w:val="04A0" w:firstRow="1" w:lastRow="0" w:firstColumn="1" w:lastColumn="0" w:noHBand="0" w:noVBand="1"/>
      </w:tblPr>
      <w:tblGrid>
        <w:gridCol w:w="1196"/>
        <w:gridCol w:w="1116"/>
        <w:gridCol w:w="1010"/>
        <w:gridCol w:w="993"/>
        <w:gridCol w:w="1476"/>
        <w:gridCol w:w="1736"/>
        <w:gridCol w:w="1196"/>
      </w:tblGrid>
      <w:tr w:rsidR="005528AF" w:rsidRPr="005528AF" w:rsidTr="005528AF">
        <w:trPr>
          <w:trHeight w:val="300"/>
        </w:trPr>
        <w:tc>
          <w:tcPr>
            <w:tcW w:w="119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Frequency</w:t>
            </w:r>
          </w:p>
        </w:tc>
        <w:tc>
          <w:tcPr>
            <w:tcW w:w="111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Opinion</w:t>
            </w:r>
          </w:p>
        </w:tc>
        <w:tc>
          <w:tcPr>
            <w:tcW w:w="93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8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4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73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19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r>
      <w:tr w:rsidR="005528AF" w:rsidRPr="005528AF" w:rsidTr="005528AF">
        <w:trPr>
          <w:trHeight w:val="300"/>
        </w:trPr>
        <w:tc>
          <w:tcPr>
            <w:tcW w:w="119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Gender</w:t>
            </w:r>
          </w:p>
        </w:tc>
        <w:tc>
          <w:tcPr>
            <w:tcW w:w="111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Agree</w:t>
            </w:r>
          </w:p>
        </w:tc>
        <w:tc>
          <w:tcPr>
            <w:tcW w:w="93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Disagree</w:t>
            </w:r>
          </w:p>
        </w:tc>
        <w:tc>
          <w:tcPr>
            <w:tcW w:w="8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Neutral</w:t>
            </w:r>
          </w:p>
        </w:tc>
        <w:tc>
          <w:tcPr>
            <w:tcW w:w="14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agree</w:t>
            </w:r>
          </w:p>
        </w:tc>
        <w:tc>
          <w:tcPr>
            <w:tcW w:w="173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disagree</w:t>
            </w:r>
          </w:p>
        </w:tc>
        <w:tc>
          <w:tcPr>
            <w:tcW w:w="119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r>
      <w:tr w:rsidR="005528AF" w:rsidRPr="005528AF" w:rsidTr="005528AF">
        <w:trPr>
          <w:trHeight w:val="300"/>
        </w:trPr>
        <w:tc>
          <w:tcPr>
            <w:tcW w:w="119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1</w:t>
            </w:r>
          </w:p>
        </w:tc>
        <w:tc>
          <w:tcPr>
            <w:tcW w:w="111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40.24%</w:t>
            </w:r>
          </w:p>
        </w:tc>
        <w:tc>
          <w:tcPr>
            <w:tcW w:w="93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40.00%</w:t>
            </w:r>
          </w:p>
        </w:tc>
        <w:tc>
          <w:tcPr>
            <w:tcW w:w="8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42.65%</w:t>
            </w:r>
          </w:p>
        </w:tc>
        <w:tc>
          <w:tcPr>
            <w:tcW w:w="14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46.51%</w:t>
            </w:r>
          </w:p>
        </w:tc>
        <w:tc>
          <w:tcPr>
            <w:tcW w:w="173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37.18%</w:t>
            </w:r>
          </w:p>
        </w:tc>
        <w:tc>
          <w:tcPr>
            <w:tcW w:w="119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41.35%</w:t>
            </w:r>
          </w:p>
        </w:tc>
      </w:tr>
      <w:tr w:rsidR="005528AF" w:rsidRPr="005528AF" w:rsidTr="005528AF">
        <w:trPr>
          <w:trHeight w:val="300"/>
        </w:trPr>
        <w:tc>
          <w:tcPr>
            <w:tcW w:w="119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2</w:t>
            </w:r>
          </w:p>
        </w:tc>
        <w:tc>
          <w:tcPr>
            <w:tcW w:w="111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59.76%</w:t>
            </w:r>
          </w:p>
        </w:tc>
        <w:tc>
          <w:tcPr>
            <w:tcW w:w="93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60.00%</w:t>
            </w:r>
          </w:p>
        </w:tc>
        <w:tc>
          <w:tcPr>
            <w:tcW w:w="8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57.35%</w:t>
            </w:r>
          </w:p>
        </w:tc>
        <w:tc>
          <w:tcPr>
            <w:tcW w:w="14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53.49%</w:t>
            </w:r>
          </w:p>
        </w:tc>
        <w:tc>
          <w:tcPr>
            <w:tcW w:w="173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62.82%</w:t>
            </w:r>
          </w:p>
        </w:tc>
        <w:tc>
          <w:tcPr>
            <w:tcW w:w="119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58.65%</w:t>
            </w:r>
          </w:p>
        </w:tc>
      </w:tr>
      <w:tr w:rsidR="005528AF" w:rsidRPr="005528AF" w:rsidTr="005528AF">
        <w:trPr>
          <w:trHeight w:val="300"/>
        </w:trPr>
        <w:tc>
          <w:tcPr>
            <w:tcW w:w="119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c>
          <w:tcPr>
            <w:tcW w:w="111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93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8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14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173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119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r>
    </w:tbl>
    <w:p w:rsidR="005528AF" w:rsidRDefault="005528AF" w:rsidP="00934D23">
      <w:pPr>
        <w:pStyle w:val="ListParagraph"/>
      </w:pPr>
    </w:p>
    <w:p w:rsidR="005528AF" w:rsidRDefault="005528AF" w:rsidP="00934D23">
      <w:pPr>
        <w:pStyle w:val="ListParagraph"/>
      </w:pPr>
    </w:p>
    <w:p w:rsidR="005528AF" w:rsidRDefault="005528AF" w:rsidP="00934D23">
      <w:pPr>
        <w:pStyle w:val="ListParagraph"/>
      </w:pPr>
      <w:r>
        <w:rPr>
          <w:noProof/>
        </w:rPr>
        <w:drawing>
          <wp:inline distT="0" distB="0" distL="0" distR="0" wp14:anchorId="773045DC" wp14:editId="7FD38926">
            <wp:extent cx="5266592" cy="2373923"/>
            <wp:effectExtent l="0" t="0" r="10795" b="2667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71464" w:rsidRDefault="00671464" w:rsidP="00934D23">
      <w:pPr>
        <w:pStyle w:val="ListParagraph"/>
      </w:pPr>
      <w:r>
        <w:t xml:space="preserve">Considering age, most males were of the opinion strongly </w:t>
      </w:r>
      <w:proofErr w:type="gramStart"/>
      <w:r>
        <w:t>agree</w:t>
      </w:r>
      <w:proofErr w:type="gramEnd"/>
      <w:r>
        <w:t xml:space="preserve"> while most females were of the opinion strongly disagree.</w:t>
      </w:r>
    </w:p>
    <w:p w:rsidR="005528AF" w:rsidRDefault="005528AF" w:rsidP="00934D23">
      <w:pPr>
        <w:pStyle w:val="ListParagraph"/>
      </w:pPr>
    </w:p>
    <w:p w:rsidR="005528AF" w:rsidRDefault="005528AF" w:rsidP="00934D23">
      <w:pPr>
        <w:pStyle w:val="ListParagraph"/>
      </w:pPr>
    </w:p>
    <w:tbl>
      <w:tblPr>
        <w:tblW w:w="8039" w:type="dxa"/>
        <w:tblInd w:w="108" w:type="dxa"/>
        <w:tblLook w:val="04A0" w:firstRow="1" w:lastRow="0" w:firstColumn="1" w:lastColumn="0" w:noHBand="0" w:noVBand="1"/>
      </w:tblPr>
      <w:tblGrid>
        <w:gridCol w:w="1168"/>
        <w:gridCol w:w="993"/>
        <w:gridCol w:w="1010"/>
        <w:gridCol w:w="993"/>
        <w:gridCol w:w="1320"/>
        <w:gridCol w:w="1580"/>
        <w:gridCol w:w="1079"/>
      </w:tblGrid>
      <w:tr w:rsidR="005528AF" w:rsidRPr="005528AF" w:rsidTr="005528AF">
        <w:trPr>
          <w:trHeight w:val="300"/>
        </w:trPr>
        <w:tc>
          <w:tcPr>
            <w:tcW w:w="1132"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Frequency</w:t>
            </w: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Opinion</w:t>
            </w: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320"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580"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079"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r>
      <w:tr w:rsidR="005528AF" w:rsidRPr="005528AF" w:rsidTr="005528AF">
        <w:trPr>
          <w:trHeight w:val="300"/>
        </w:trPr>
        <w:tc>
          <w:tcPr>
            <w:tcW w:w="1132"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Age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Agree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Disagree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Neutral</w:t>
            </w:r>
          </w:p>
        </w:tc>
        <w:tc>
          <w:tcPr>
            <w:tcW w:w="1320"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agree</w:t>
            </w:r>
          </w:p>
        </w:tc>
        <w:tc>
          <w:tcPr>
            <w:tcW w:w="1580"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disagree</w:t>
            </w:r>
          </w:p>
        </w:tc>
        <w:tc>
          <w:tcPr>
            <w:tcW w:w="1079"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r>
      <w:tr w:rsidR="005528AF" w:rsidRPr="005528AF" w:rsidTr="005528AF">
        <w:trPr>
          <w:trHeight w:val="300"/>
        </w:trPr>
        <w:tc>
          <w:tcPr>
            <w:tcW w:w="1132"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Elderly</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21.95%</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24.71%</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22.06%</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23.26%</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25.64%</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23.56%</w:t>
            </w:r>
          </w:p>
        </w:tc>
      </w:tr>
      <w:tr w:rsidR="005528AF" w:rsidRPr="005528AF" w:rsidTr="005528AF">
        <w:trPr>
          <w:trHeight w:val="300"/>
        </w:trPr>
        <w:tc>
          <w:tcPr>
            <w:tcW w:w="1132"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Middle-aged</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58.54%</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52.94%</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55.88%</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55.81%</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50.00%</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54.64%</w:t>
            </w:r>
          </w:p>
        </w:tc>
      </w:tr>
      <w:tr w:rsidR="005528AF" w:rsidRPr="005528AF" w:rsidTr="005528AF">
        <w:trPr>
          <w:trHeight w:val="300"/>
        </w:trPr>
        <w:tc>
          <w:tcPr>
            <w:tcW w:w="1132"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Young</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19.51%</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22.35%</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22.06%</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20.93%</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24.36%</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21.80%</w:t>
            </w:r>
          </w:p>
        </w:tc>
      </w:tr>
      <w:tr w:rsidR="005528AF" w:rsidRPr="005528AF" w:rsidTr="005528AF">
        <w:trPr>
          <w:trHeight w:val="300"/>
        </w:trPr>
        <w:tc>
          <w:tcPr>
            <w:tcW w:w="1132"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1320"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1580"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1079"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r>
    </w:tbl>
    <w:p w:rsidR="005528AF" w:rsidRDefault="005528AF" w:rsidP="00934D23">
      <w:pPr>
        <w:pStyle w:val="ListParagraph"/>
      </w:pPr>
    </w:p>
    <w:p w:rsidR="005528AF" w:rsidRDefault="005528AF" w:rsidP="00934D23">
      <w:pPr>
        <w:pStyle w:val="ListParagraph"/>
      </w:pPr>
    </w:p>
    <w:p w:rsidR="005528AF" w:rsidRDefault="005528AF" w:rsidP="00934D23">
      <w:pPr>
        <w:pStyle w:val="ListParagraph"/>
      </w:pPr>
      <w:r>
        <w:rPr>
          <w:noProof/>
        </w:rPr>
        <w:lastRenderedPageBreak/>
        <w:drawing>
          <wp:inline distT="0" distB="0" distL="0" distR="0" wp14:anchorId="1D28BD7D" wp14:editId="1F41A54C">
            <wp:extent cx="5073162" cy="1934308"/>
            <wp:effectExtent l="0" t="0" r="13335" b="2794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71464" w:rsidRDefault="00671464" w:rsidP="00934D23">
      <w:pPr>
        <w:pStyle w:val="ListParagraph"/>
      </w:pPr>
      <w:r>
        <w:t>While considering age, most elderly people were of the opinion strongly disagree, most middle aged people were of the opinion agree and most of the young people were of the opinion strongly disagree.</w:t>
      </w:r>
    </w:p>
    <w:p w:rsidR="005528AF" w:rsidRDefault="005528AF" w:rsidP="00934D23">
      <w:pPr>
        <w:pStyle w:val="ListParagraph"/>
      </w:pPr>
    </w:p>
    <w:p w:rsidR="005528AF" w:rsidRDefault="005528AF" w:rsidP="00934D23">
      <w:pPr>
        <w:pStyle w:val="ListParagraph"/>
      </w:pPr>
    </w:p>
    <w:tbl>
      <w:tblPr>
        <w:tblW w:w="8984" w:type="dxa"/>
        <w:tblInd w:w="108" w:type="dxa"/>
        <w:tblLook w:val="04A0" w:firstRow="1" w:lastRow="0" w:firstColumn="1" w:lastColumn="0" w:noHBand="0" w:noVBand="1"/>
      </w:tblPr>
      <w:tblGrid>
        <w:gridCol w:w="2077"/>
        <w:gridCol w:w="993"/>
        <w:gridCol w:w="1010"/>
        <w:gridCol w:w="993"/>
        <w:gridCol w:w="1320"/>
        <w:gridCol w:w="1580"/>
        <w:gridCol w:w="1079"/>
      </w:tblGrid>
      <w:tr w:rsidR="005528AF" w:rsidRPr="005528AF" w:rsidTr="005528AF">
        <w:trPr>
          <w:trHeight w:val="300"/>
        </w:trPr>
        <w:tc>
          <w:tcPr>
            <w:tcW w:w="2077"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Frequency</w:t>
            </w: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Opinion</w:t>
            </w: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320"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580"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079"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r>
      <w:tr w:rsidR="005528AF" w:rsidRPr="005528AF" w:rsidTr="005528AF">
        <w:trPr>
          <w:trHeight w:val="300"/>
        </w:trPr>
        <w:tc>
          <w:tcPr>
            <w:tcW w:w="2077"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Salary</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Agree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Disagree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Neutral</w:t>
            </w:r>
          </w:p>
        </w:tc>
        <w:tc>
          <w:tcPr>
            <w:tcW w:w="1320"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agree</w:t>
            </w:r>
          </w:p>
        </w:tc>
        <w:tc>
          <w:tcPr>
            <w:tcW w:w="1580"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disagree</w:t>
            </w:r>
          </w:p>
        </w:tc>
        <w:tc>
          <w:tcPr>
            <w:tcW w:w="1079"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r>
      <w:tr w:rsidR="005528AF" w:rsidRPr="005528AF" w:rsidTr="005528AF">
        <w:trPr>
          <w:trHeight w:val="300"/>
        </w:trPr>
        <w:tc>
          <w:tcPr>
            <w:tcW w:w="2077"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Between 40k and &amp;70k</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25.61%</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35.29%</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29.41%</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29.07%</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29.49%</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29.82%</w:t>
            </w:r>
          </w:p>
        </w:tc>
      </w:tr>
      <w:tr w:rsidR="005528AF" w:rsidRPr="005528AF" w:rsidTr="005528AF">
        <w:trPr>
          <w:trHeight w:val="300"/>
        </w:trPr>
        <w:tc>
          <w:tcPr>
            <w:tcW w:w="2077"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Between 70k and 100k</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48.78%</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37.65%</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44.12%</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39.53%</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42.31%</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42.36%</w:t>
            </w:r>
          </w:p>
        </w:tc>
      </w:tr>
      <w:tr w:rsidR="005528AF" w:rsidRPr="005528AF" w:rsidTr="005528AF">
        <w:trPr>
          <w:trHeight w:val="300"/>
        </w:trPr>
        <w:tc>
          <w:tcPr>
            <w:tcW w:w="2077"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Greater than 100k</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21.95%</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20.00%</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19.12%</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22.09%</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23.08%</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21.30%</w:t>
            </w:r>
          </w:p>
        </w:tc>
      </w:tr>
      <w:tr w:rsidR="005528AF" w:rsidRPr="005528AF" w:rsidTr="005528AF">
        <w:trPr>
          <w:trHeight w:val="300"/>
        </w:trPr>
        <w:tc>
          <w:tcPr>
            <w:tcW w:w="2077"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 xml:space="preserve">Less </w:t>
            </w:r>
            <w:proofErr w:type="spellStart"/>
            <w:r w:rsidRPr="005528AF">
              <w:rPr>
                <w:rFonts w:ascii="Calibri" w:eastAsia="Times New Roman" w:hAnsi="Calibri" w:cs="Calibri"/>
                <w:color w:val="000000"/>
              </w:rPr>
              <w:t>tha</w:t>
            </w:r>
            <w:proofErr w:type="spellEnd"/>
            <w:r w:rsidRPr="005528AF">
              <w:rPr>
                <w:rFonts w:ascii="Calibri" w:eastAsia="Times New Roman" w:hAnsi="Calibri" w:cs="Calibri"/>
                <w:color w:val="000000"/>
              </w:rPr>
              <w:t xml:space="preserve"> 40k</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3.66%</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7.06%</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7.35%</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9.30%</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5.13%</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6.52%</w:t>
            </w:r>
          </w:p>
        </w:tc>
      </w:tr>
      <w:tr w:rsidR="005528AF" w:rsidRPr="005528AF" w:rsidTr="005528AF">
        <w:trPr>
          <w:trHeight w:val="300"/>
        </w:trPr>
        <w:tc>
          <w:tcPr>
            <w:tcW w:w="2077"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1320"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1580"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c>
          <w:tcPr>
            <w:tcW w:w="1079"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r>
    </w:tbl>
    <w:p w:rsidR="005528AF" w:rsidRDefault="005528AF" w:rsidP="00934D23">
      <w:pPr>
        <w:pStyle w:val="ListParagraph"/>
      </w:pPr>
    </w:p>
    <w:p w:rsidR="005528AF" w:rsidRDefault="005528AF" w:rsidP="00934D23">
      <w:pPr>
        <w:pStyle w:val="ListParagraph"/>
      </w:pPr>
    </w:p>
    <w:p w:rsidR="005528AF" w:rsidRDefault="005528AF" w:rsidP="00934D23">
      <w:pPr>
        <w:pStyle w:val="ListParagraph"/>
      </w:pPr>
      <w:r>
        <w:rPr>
          <w:noProof/>
        </w:rPr>
        <w:drawing>
          <wp:inline distT="0" distB="0" distL="0" distR="0" wp14:anchorId="7F658BA5" wp14:editId="440CBA01">
            <wp:extent cx="4624754" cy="2303585"/>
            <wp:effectExtent l="0" t="0" r="23495" b="2095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E7E34" w:rsidRDefault="003E7E34" w:rsidP="00934D23">
      <w:pPr>
        <w:pStyle w:val="ListParagraph"/>
      </w:pPr>
      <w:r>
        <w:t>Considering the salary of the people, most of those earning between 40k and 70k disagreed, most of those between 70k and 100k agreed, most of those who earn greater than 100k strongly disagreed and most of those who earned less than 40k strongly agreed.</w:t>
      </w:r>
    </w:p>
    <w:p w:rsidR="005528AF" w:rsidRDefault="005528AF" w:rsidP="00934D23">
      <w:pPr>
        <w:pStyle w:val="ListParagraph"/>
      </w:pPr>
    </w:p>
    <w:p w:rsidR="005528AF" w:rsidRDefault="005528AF" w:rsidP="00934D23">
      <w:pPr>
        <w:pStyle w:val="ListParagraph"/>
      </w:pPr>
    </w:p>
    <w:p w:rsidR="003E7E34" w:rsidRPr="00023282" w:rsidRDefault="003E7E34" w:rsidP="003E7E34">
      <w:pPr>
        <w:pStyle w:val="ListParagraph"/>
        <w:numPr>
          <w:ilvl w:val="0"/>
          <w:numId w:val="3"/>
        </w:numPr>
        <w:rPr>
          <w:b/>
        </w:rPr>
      </w:pPr>
      <w:r w:rsidRPr="00023282">
        <w:rPr>
          <w:b/>
        </w:rPr>
        <w:t>Considering Row totals</w:t>
      </w:r>
    </w:p>
    <w:tbl>
      <w:tblPr>
        <w:tblW w:w="8984" w:type="dxa"/>
        <w:tblInd w:w="108" w:type="dxa"/>
        <w:tblLook w:val="04A0" w:firstRow="1" w:lastRow="0" w:firstColumn="1" w:lastColumn="0" w:noHBand="0" w:noVBand="1"/>
      </w:tblPr>
      <w:tblGrid>
        <w:gridCol w:w="2077"/>
        <w:gridCol w:w="976"/>
        <w:gridCol w:w="1010"/>
        <w:gridCol w:w="976"/>
        <w:gridCol w:w="1320"/>
        <w:gridCol w:w="1580"/>
        <w:gridCol w:w="1079"/>
      </w:tblGrid>
      <w:tr w:rsidR="005528AF" w:rsidRPr="005528AF" w:rsidTr="005528AF">
        <w:trPr>
          <w:trHeight w:val="300"/>
        </w:trPr>
        <w:tc>
          <w:tcPr>
            <w:tcW w:w="2077"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Frequency</w:t>
            </w: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Opinion</w:t>
            </w: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320"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580"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079"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r>
      <w:tr w:rsidR="005528AF" w:rsidRPr="005528AF" w:rsidTr="005528AF">
        <w:trPr>
          <w:trHeight w:val="300"/>
        </w:trPr>
        <w:tc>
          <w:tcPr>
            <w:tcW w:w="2077"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Salary</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Agree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Disagree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Neutral</w:t>
            </w:r>
          </w:p>
        </w:tc>
        <w:tc>
          <w:tcPr>
            <w:tcW w:w="1320"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agree</w:t>
            </w:r>
          </w:p>
        </w:tc>
        <w:tc>
          <w:tcPr>
            <w:tcW w:w="1580"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disagree</w:t>
            </w:r>
          </w:p>
        </w:tc>
        <w:tc>
          <w:tcPr>
            <w:tcW w:w="1079"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r>
      <w:tr w:rsidR="005528AF" w:rsidRPr="005528AF" w:rsidTr="005528AF">
        <w:trPr>
          <w:trHeight w:val="300"/>
        </w:trPr>
        <w:tc>
          <w:tcPr>
            <w:tcW w:w="2077"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Between 40k and &amp;70k</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17.65%</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25.21%</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16.81%</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21.01%</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19.33%</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100.00%</w:t>
            </w:r>
          </w:p>
        </w:tc>
      </w:tr>
      <w:tr w:rsidR="005528AF" w:rsidRPr="005528AF" w:rsidTr="005528AF">
        <w:trPr>
          <w:trHeight w:val="300"/>
        </w:trPr>
        <w:tc>
          <w:tcPr>
            <w:tcW w:w="2077"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Between 70k and 100k</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23.67%</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18.93%</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17.75%</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20.12%</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19.53%</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100.00%</w:t>
            </w:r>
          </w:p>
        </w:tc>
      </w:tr>
      <w:tr w:rsidR="005528AF" w:rsidRPr="005528AF" w:rsidTr="005528AF">
        <w:trPr>
          <w:trHeight w:val="300"/>
        </w:trPr>
        <w:tc>
          <w:tcPr>
            <w:tcW w:w="2077"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Greater than 100k</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21.18%</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20.00%</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15.29%</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22.35%</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21.18%</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100.00%</w:t>
            </w:r>
          </w:p>
        </w:tc>
      </w:tr>
      <w:tr w:rsidR="005528AF" w:rsidRPr="005528AF" w:rsidTr="005528AF">
        <w:trPr>
          <w:trHeight w:val="300"/>
        </w:trPr>
        <w:tc>
          <w:tcPr>
            <w:tcW w:w="2077"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 xml:space="preserve">Less </w:t>
            </w:r>
            <w:proofErr w:type="spellStart"/>
            <w:r w:rsidRPr="005528AF">
              <w:rPr>
                <w:rFonts w:ascii="Calibri" w:eastAsia="Times New Roman" w:hAnsi="Calibri" w:cs="Calibri"/>
                <w:color w:val="000000"/>
              </w:rPr>
              <w:t>tha</w:t>
            </w:r>
            <w:proofErr w:type="spellEnd"/>
            <w:r w:rsidRPr="005528AF">
              <w:rPr>
                <w:rFonts w:ascii="Calibri" w:eastAsia="Times New Roman" w:hAnsi="Calibri" w:cs="Calibri"/>
                <w:color w:val="000000"/>
              </w:rPr>
              <w:t xml:space="preserve"> 40k</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11.54%</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23.08%</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19.23%</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30.77%</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15.38%</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100.00%</w:t>
            </w:r>
          </w:p>
        </w:tc>
      </w:tr>
      <w:tr w:rsidR="005528AF" w:rsidRPr="005528AF" w:rsidTr="005528AF">
        <w:trPr>
          <w:trHeight w:val="300"/>
        </w:trPr>
        <w:tc>
          <w:tcPr>
            <w:tcW w:w="2077"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20.55%</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21.30%</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17.04%</w:t>
            </w:r>
          </w:p>
        </w:tc>
        <w:tc>
          <w:tcPr>
            <w:tcW w:w="1320"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21.55%</w:t>
            </w:r>
          </w:p>
        </w:tc>
        <w:tc>
          <w:tcPr>
            <w:tcW w:w="1580"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19.55%</w:t>
            </w:r>
          </w:p>
        </w:tc>
        <w:tc>
          <w:tcPr>
            <w:tcW w:w="1079"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r>
    </w:tbl>
    <w:p w:rsidR="005528AF" w:rsidRDefault="005528AF" w:rsidP="00934D23">
      <w:pPr>
        <w:pStyle w:val="ListParagraph"/>
      </w:pPr>
    </w:p>
    <w:p w:rsidR="005528AF" w:rsidRDefault="005528AF" w:rsidP="00934D23">
      <w:pPr>
        <w:pStyle w:val="ListParagraph"/>
      </w:pPr>
      <w:r>
        <w:rPr>
          <w:noProof/>
        </w:rPr>
        <w:drawing>
          <wp:inline distT="0" distB="0" distL="0" distR="0" wp14:anchorId="060CE1EF" wp14:editId="527B4245">
            <wp:extent cx="4994031" cy="2743200"/>
            <wp:effectExtent l="0" t="0" r="1651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528AF" w:rsidRDefault="005528AF" w:rsidP="00934D23">
      <w:pPr>
        <w:pStyle w:val="ListParagraph"/>
      </w:pPr>
    </w:p>
    <w:p w:rsidR="005528AF" w:rsidRDefault="003E7E34" w:rsidP="00934D23">
      <w:pPr>
        <w:pStyle w:val="ListParagraph"/>
      </w:pPr>
      <w:r>
        <w:t>Most of those earning between 40k and 70k disagreed, most of those earning between 70k and 100k agreed, most of those earning greater than 100k and those earning less than 40k strongly agreed</w:t>
      </w:r>
    </w:p>
    <w:tbl>
      <w:tblPr>
        <w:tblW w:w="8039" w:type="dxa"/>
        <w:tblInd w:w="108" w:type="dxa"/>
        <w:tblLook w:val="04A0" w:firstRow="1" w:lastRow="0" w:firstColumn="1" w:lastColumn="0" w:noHBand="0" w:noVBand="1"/>
      </w:tblPr>
      <w:tblGrid>
        <w:gridCol w:w="1168"/>
        <w:gridCol w:w="976"/>
        <w:gridCol w:w="1010"/>
        <w:gridCol w:w="976"/>
        <w:gridCol w:w="1320"/>
        <w:gridCol w:w="1580"/>
        <w:gridCol w:w="1079"/>
      </w:tblGrid>
      <w:tr w:rsidR="005528AF" w:rsidRPr="005528AF" w:rsidTr="005528AF">
        <w:trPr>
          <w:trHeight w:val="300"/>
        </w:trPr>
        <w:tc>
          <w:tcPr>
            <w:tcW w:w="1132"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Frequency</w:t>
            </w: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Opinion</w:t>
            </w: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320"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580"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079"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r>
      <w:tr w:rsidR="005528AF" w:rsidRPr="005528AF" w:rsidTr="005528AF">
        <w:trPr>
          <w:trHeight w:val="300"/>
        </w:trPr>
        <w:tc>
          <w:tcPr>
            <w:tcW w:w="1132"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Age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Agree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Disagree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Neutral</w:t>
            </w:r>
          </w:p>
        </w:tc>
        <w:tc>
          <w:tcPr>
            <w:tcW w:w="1320"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agree</w:t>
            </w:r>
          </w:p>
        </w:tc>
        <w:tc>
          <w:tcPr>
            <w:tcW w:w="1580"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disagree</w:t>
            </w:r>
          </w:p>
        </w:tc>
        <w:tc>
          <w:tcPr>
            <w:tcW w:w="1079"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r>
      <w:tr w:rsidR="005528AF" w:rsidRPr="005528AF" w:rsidTr="005528AF">
        <w:trPr>
          <w:trHeight w:val="300"/>
        </w:trPr>
        <w:tc>
          <w:tcPr>
            <w:tcW w:w="1132"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Elderly</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19.15%</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22.34%</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15.96%</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21.28%</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21.28%</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100.00%</w:t>
            </w:r>
          </w:p>
        </w:tc>
      </w:tr>
      <w:tr w:rsidR="005528AF" w:rsidRPr="005528AF" w:rsidTr="005528AF">
        <w:trPr>
          <w:trHeight w:val="300"/>
        </w:trPr>
        <w:tc>
          <w:tcPr>
            <w:tcW w:w="1132"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Middle-aged</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22.02%</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20.64%</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17.43%</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22.02%</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17.89%</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100.00%</w:t>
            </w:r>
          </w:p>
        </w:tc>
      </w:tr>
      <w:tr w:rsidR="005528AF" w:rsidRPr="005528AF" w:rsidTr="005528AF">
        <w:trPr>
          <w:trHeight w:val="300"/>
        </w:trPr>
        <w:tc>
          <w:tcPr>
            <w:tcW w:w="1132"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Young</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18.39%</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21.84%</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17.24%</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20.69%</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21.84%</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100.00%</w:t>
            </w:r>
          </w:p>
        </w:tc>
      </w:tr>
      <w:tr w:rsidR="005528AF" w:rsidRPr="005528AF" w:rsidTr="005528AF">
        <w:trPr>
          <w:trHeight w:val="300"/>
        </w:trPr>
        <w:tc>
          <w:tcPr>
            <w:tcW w:w="1132"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20.55%</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21.30%</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17.04%</w:t>
            </w:r>
          </w:p>
        </w:tc>
        <w:tc>
          <w:tcPr>
            <w:tcW w:w="1320"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21.55%</w:t>
            </w:r>
          </w:p>
        </w:tc>
        <w:tc>
          <w:tcPr>
            <w:tcW w:w="1580"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19.55%</w:t>
            </w:r>
          </w:p>
        </w:tc>
        <w:tc>
          <w:tcPr>
            <w:tcW w:w="1079"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r>
    </w:tbl>
    <w:p w:rsidR="005528AF" w:rsidRDefault="005528AF" w:rsidP="00934D23">
      <w:pPr>
        <w:pStyle w:val="ListParagraph"/>
      </w:pPr>
    </w:p>
    <w:p w:rsidR="005528AF" w:rsidRDefault="005528AF" w:rsidP="00934D23">
      <w:pPr>
        <w:pStyle w:val="ListParagraph"/>
      </w:pPr>
    </w:p>
    <w:p w:rsidR="005528AF" w:rsidRDefault="005528AF" w:rsidP="00934D23">
      <w:pPr>
        <w:pStyle w:val="ListParagraph"/>
      </w:pPr>
      <w:r>
        <w:rPr>
          <w:noProof/>
        </w:rPr>
        <w:drawing>
          <wp:inline distT="0" distB="0" distL="0" distR="0" wp14:anchorId="3194DCF9" wp14:editId="652B06AE">
            <wp:extent cx="4862146" cy="2743200"/>
            <wp:effectExtent l="0" t="0" r="1524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528AF" w:rsidRDefault="005528AF" w:rsidP="00934D23">
      <w:pPr>
        <w:pStyle w:val="ListParagraph"/>
      </w:pPr>
    </w:p>
    <w:p w:rsidR="005528AF" w:rsidRDefault="003E7E34" w:rsidP="00934D23">
      <w:pPr>
        <w:pStyle w:val="ListParagraph"/>
      </w:pPr>
      <w:r>
        <w:t xml:space="preserve">Most of the elderly people disagreed, there was a tie in those who </w:t>
      </w:r>
      <w:r w:rsidR="00907CE9">
        <w:t>agreed and strongly agreed among middle aged people and also a tie among those who disagreed and strongly disagreed among the young people.</w:t>
      </w:r>
    </w:p>
    <w:tbl>
      <w:tblPr>
        <w:tblW w:w="7986" w:type="dxa"/>
        <w:tblInd w:w="108" w:type="dxa"/>
        <w:tblLook w:val="04A0" w:firstRow="1" w:lastRow="0" w:firstColumn="1" w:lastColumn="0" w:noHBand="0" w:noVBand="1"/>
      </w:tblPr>
      <w:tblGrid>
        <w:gridCol w:w="1168"/>
        <w:gridCol w:w="976"/>
        <w:gridCol w:w="1010"/>
        <w:gridCol w:w="976"/>
        <w:gridCol w:w="1320"/>
        <w:gridCol w:w="1580"/>
        <w:gridCol w:w="1079"/>
      </w:tblGrid>
      <w:tr w:rsidR="005528AF" w:rsidRPr="005528AF" w:rsidTr="005528AF">
        <w:trPr>
          <w:trHeight w:val="300"/>
        </w:trPr>
        <w:tc>
          <w:tcPr>
            <w:tcW w:w="1079"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Frequency</w:t>
            </w: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Opinion</w:t>
            </w: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976"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320"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580"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c>
          <w:tcPr>
            <w:tcW w:w="1079" w:type="dxa"/>
            <w:tcBorders>
              <w:top w:val="nil"/>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p>
        </w:tc>
      </w:tr>
      <w:tr w:rsidR="005528AF" w:rsidRPr="005528AF" w:rsidTr="005528AF">
        <w:trPr>
          <w:trHeight w:val="300"/>
        </w:trPr>
        <w:tc>
          <w:tcPr>
            <w:tcW w:w="1079"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Gender</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Agree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Disagree</w:t>
            </w:r>
          </w:p>
        </w:tc>
        <w:tc>
          <w:tcPr>
            <w:tcW w:w="976"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Neutral</w:t>
            </w:r>
          </w:p>
        </w:tc>
        <w:tc>
          <w:tcPr>
            <w:tcW w:w="1320"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agree</w:t>
            </w:r>
          </w:p>
        </w:tc>
        <w:tc>
          <w:tcPr>
            <w:tcW w:w="1580"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Strongly disagree</w:t>
            </w:r>
          </w:p>
        </w:tc>
        <w:tc>
          <w:tcPr>
            <w:tcW w:w="1079" w:type="dxa"/>
            <w:tcBorders>
              <w:top w:val="nil"/>
              <w:left w:val="nil"/>
              <w:bottom w:val="single" w:sz="4" w:space="0" w:color="95B3D7"/>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r>
      <w:tr w:rsidR="005528AF" w:rsidRPr="005528AF" w:rsidTr="005528AF">
        <w:trPr>
          <w:trHeight w:val="300"/>
        </w:trPr>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1</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20.00%</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20.61%</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17.58%</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24.24%</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17.58%</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100.00%</w:t>
            </w:r>
          </w:p>
        </w:tc>
      </w:tr>
      <w:tr w:rsidR="005528AF" w:rsidRPr="005528AF" w:rsidTr="005528AF">
        <w:trPr>
          <w:trHeight w:val="300"/>
        </w:trPr>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rPr>
                <w:rFonts w:ascii="Calibri" w:eastAsia="Times New Roman" w:hAnsi="Calibri" w:cs="Calibri"/>
                <w:color w:val="000000"/>
              </w:rPr>
            </w:pPr>
            <w:r w:rsidRPr="005528AF">
              <w:rPr>
                <w:rFonts w:ascii="Calibri" w:eastAsia="Times New Roman" w:hAnsi="Calibri" w:cs="Calibri"/>
                <w:color w:val="000000"/>
              </w:rPr>
              <w:t>2</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20.94%</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21.79%</w:t>
            </w:r>
          </w:p>
        </w:tc>
        <w:tc>
          <w:tcPr>
            <w:tcW w:w="976"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16.67%</w:t>
            </w:r>
          </w:p>
        </w:tc>
        <w:tc>
          <w:tcPr>
            <w:tcW w:w="132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19.66%</w:t>
            </w:r>
          </w:p>
        </w:tc>
        <w:tc>
          <w:tcPr>
            <w:tcW w:w="1580"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20.94%</w:t>
            </w:r>
          </w:p>
        </w:tc>
        <w:tc>
          <w:tcPr>
            <w:tcW w:w="1079" w:type="dxa"/>
            <w:tcBorders>
              <w:top w:val="nil"/>
              <w:left w:val="nil"/>
              <w:bottom w:val="nil"/>
              <w:right w:val="nil"/>
            </w:tcBorders>
            <w:shd w:val="clear" w:color="auto" w:fill="auto"/>
            <w:noWrap/>
            <w:vAlign w:val="bottom"/>
            <w:hideMark/>
          </w:tcPr>
          <w:p w:rsidR="005528AF" w:rsidRPr="005528AF" w:rsidRDefault="005528AF" w:rsidP="005528AF">
            <w:pPr>
              <w:spacing w:after="0" w:line="240" w:lineRule="auto"/>
              <w:jc w:val="right"/>
              <w:rPr>
                <w:rFonts w:ascii="Calibri" w:eastAsia="Times New Roman" w:hAnsi="Calibri" w:cs="Calibri"/>
                <w:color w:val="000000"/>
              </w:rPr>
            </w:pPr>
            <w:r w:rsidRPr="005528AF">
              <w:rPr>
                <w:rFonts w:ascii="Calibri" w:eastAsia="Times New Roman" w:hAnsi="Calibri" w:cs="Calibri"/>
                <w:color w:val="000000"/>
              </w:rPr>
              <w:t>100.00%</w:t>
            </w:r>
          </w:p>
        </w:tc>
      </w:tr>
      <w:tr w:rsidR="005528AF" w:rsidRPr="005528AF" w:rsidTr="005528AF">
        <w:trPr>
          <w:trHeight w:val="300"/>
        </w:trPr>
        <w:tc>
          <w:tcPr>
            <w:tcW w:w="1079"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rPr>
                <w:rFonts w:ascii="Calibri" w:eastAsia="Times New Roman" w:hAnsi="Calibri" w:cs="Calibri"/>
                <w:b/>
                <w:bCs/>
                <w:color w:val="000000"/>
              </w:rPr>
            </w:pPr>
            <w:r w:rsidRPr="005528AF">
              <w:rPr>
                <w:rFonts w:ascii="Calibri" w:eastAsia="Times New Roman" w:hAnsi="Calibri" w:cs="Calibri"/>
                <w:b/>
                <w:bCs/>
                <w:color w:val="000000"/>
              </w:rPr>
              <w:t>Grand Total</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20.55%</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21.30%</w:t>
            </w:r>
          </w:p>
        </w:tc>
        <w:tc>
          <w:tcPr>
            <w:tcW w:w="976"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17.04%</w:t>
            </w:r>
          </w:p>
        </w:tc>
        <w:tc>
          <w:tcPr>
            <w:tcW w:w="1320"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21.55%</w:t>
            </w:r>
          </w:p>
        </w:tc>
        <w:tc>
          <w:tcPr>
            <w:tcW w:w="1580"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19.55%</w:t>
            </w:r>
          </w:p>
        </w:tc>
        <w:tc>
          <w:tcPr>
            <w:tcW w:w="1079" w:type="dxa"/>
            <w:tcBorders>
              <w:top w:val="single" w:sz="4" w:space="0" w:color="95B3D7"/>
              <w:left w:val="nil"/>
              <w:bottom w:val="nil"/>
              <w:right w:val="nil"/>
            </w:tcBorders>
            <w:shd w:val="clear" w:color="DCE6F1" w:fill="DCE6F1"/>
            <w:noWrap/>
            <w:vAlign w:val="bottom"/>
            <w:hideMark/>
          </w:tcPr>
          <w:p w:rsidR="005528AF" w:rsidRPr="005528AF" w:rsidRDefault="005528AF" w:rsidP="005528AF">
            <w:pPr>
              <w:spacing w:after="0" w:line="240" w:lineRule="auto"/>
              <w:jc w:val="right"/>
              <w:rPr>
                <w:rFonts w:ascii="Calibri" w:eastAsia="Times New Roman" w:hAnsi="Calibri" w:cs="Calibri"/>
                <w:b/>
                <w:bCs/>
                <w:color w:val="000000"/>
              </w:rPr>
            </w:pPr>
            <w:r w:rsidRPr="005528AF">
              <w:rPr>
                <w:rFonts w:ascii="Calibri" w:eastAsia="Times New Roman" w:hAnsi="Calibri" w:cs="Calibri"/>
                <w:b/>
                <w:bCs/>
                <w:color w:val="000000"/>
              </w:rPr>
              <w:t>100.00%</w:t>
            </w:r>
          </w:p>
        </w:tc>
      </w:tr>
    </w:tbl>
    <w:p w:rsidR="005528AF" w:rsidRDefault="005528AF" w:rsidP="00934D23">
      <w:pPr>
        <w:pStyle w:val="ListParagraph"/>
      </w:pPr>
    </w:p>
    <w:p w:rsidR="005528AF" w:rsidRDefault="005528AF" w:rsidP="00934D23">
      <w:pPr>
        <w:pStyle w:val="ListParagraph"/>
      </w:pPr>
      <w:r>
        <w:rPr>
          <w:noProof/>
        </w:rPr>
        <w:drawing>
          <wp:inline distT="0" distB="0" distL="0" distR="0" wp14:anchorId="3C5CDE16" wp14:editId="6D49F12F">
            <wp:extent cx="4800600" cy="27432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32753" w:rsidRDefault="00732753" w:rsidP="00934D23">
      <w:pPr>
        <w:pStyle w:val="ListParagraph"/>
      </w:pPr>
    </w:p>
    <w:p w:rsidR="00732753" w:rsidRDefault="00732753" w:rsidP="00934D23">
      <w:pPr>
        <w:pStyle w:val="ListParagraph"/>
      </w:pPr>
      <w:r>
        <w:t>Most males agreed and most females disagreed.</w:t>
      </w:r>
    </w:p>
    <w:sectPr w:rsidR="007327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2D218D"/>
    <w:multiLevelType w:val="hybridMultilevel"/>
    <w:tmpl w:val="0AE8E4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A3177F"/>
    <w:multiLevelType w:val="hybridMultilevel"/>
    <w:tmpl w:val="8ED618B4"/>
    <w:lvl w:ilvl="0" w:tplc="19BA68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19B5331"/>
    <w:multiLevelType w:val="hybridMultilevel"/>
    <w:tmpl w:val="53520BBE"/>
    <w:lvl w:ilvl="0" w:tplc="853830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95A5E91"/>
    <w:multiLevelType w:val="hybridMultilevel"/>
    <w:tmpl w:val="81203AE8"/>
    <w:lvl w:ilvl="0" w:tplc="5F6C26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2CF32C8"/>
    <w:multiLevelType w:val="hybridMultilevel"/>
    <w:tmpl w:val="64ACAB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D23"/>
    <w:rsid w:val="00023282"/>
    <w:rsid w:val="003E7E34"/>
    <w:rsid w:val="005528AF"/>
    <w:rsid w:val="00671464"/>
    <w:rsid w:val="006F2226"/>
    <w:rsid w:val="00732753"/>
    <w:rsid w:val="00907CE9"/>
    <w:rsid w:val="00934D23"/>
    <w:rsid w:val="00AD6155"/>
    <w:rsid w:val="00C458F8"/>
    <w:rsid w:val="00D258EB"/>
    <w:rsid w:val="00D52BEB"/>
    <w:rsid w:val="00DF2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4D23"/>
    <w:pPr>
      <w:ind w:left="720"/>
      <w:contextualSpacing/>
    </w:pPr>
  </w:style>
  <w:style w:type="paragraph" w:styleId="BalloonText">
    <w:name w:val="Balloon Text"/>
    <w:basedOn w:val="Normal"/>
    <w:link w:val="BalloonTextChar"/>
    <w:uiPriority w:val="99"/>
    <w:semiHidden/>
    <w:unhideWhenUsed/>
    <w:rsid w:val="00934D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D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4D23"/>
    <w:pPr>
      <w:ind w:left="720"/>
      <w:contextualSpacing/>
    </w:pPr>
  </w:style>
  <w:style w:type="paragraph" w:styleId="BalloonText">
    <w:name w:val="Balloon Text"/>
    <w:basedOn w:val="Normal"/>
    <w:link w:val="BalloonTextChar"/>
    <w:uiPriority w:val="99"/>
    <w:semiHidden/>
    <w:unhideWhenUsed/>
    <w:rsid w:val="00934D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D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780658">
      <w:bodyDiv w:val="1"/>
      <w:marLeft w:val="0"/>
      <w:marRight w:val="0"/>
      <w:marTop w:val="0"/>
      <w:marBottom w:val="0"/>
      <w:divBdr>
        <w:top w:val="none" w:sz="0" w:space="0" w:color="auto"/>
        <w:left w:val="none" w:sz="0" w:space="0" w:color="auto"/>
        <w:bottom w:val="none" w:sz="0" w:space="0" w:color="auto"/>
        <w:right w:val="none" w:sz="0" w:space="0" w:color="auto"/>
      </w:divBdr>
    </w:div>
    <w:div w:id="788666087">
      <w:bodyDiv w:val="1"/>
      <w:marLeft w:val="0"/>
      <w:marRight w:val="0"/>
      <w:marTop w:val="0"/>
      <w:marBottom w:val="0"/>
      <w:divBdr>
        <w:top w:val="none" w:sz="0" w:space="0" w:color="auto"/>
        <w:left w:val="none" w:sz="0" w:space="0" w:color="auto"/>
        <w:bottom w:val="none" w:sz="0" w:space="0" w:color="auto"/>
        <w:right w:val="none" w:sz="0" w:space="0" w:color="auto"/>
      </w:divBdr>
    </w:div>
    <w:div w:id="882404315">
      <w:bodyDiv w:val="1"/>
      <w:marLeft w:val="0"/>
      <w:marRight w:val="0"/>
      <w:marTop w:val="0"/>
      <w:marBottom w:val="0"/>
      <w:divBdr>
        <w:top w:val="none" w:sz="0" w:space="0" w:color="auto"/>
        <w:left w:val="none" w:sz="0" w:space="0" w:color="auto"/>
        <w:bottom w:val="none" w:sz="0" w:space="0" w:color="auto"/>
        <w:right w:val="none" w:sz="0" w:space="0" w:color="auto"/>
      </w:divBdr>
    </w:div>
    <w:div w:id="914048620">
      <w:bodyDiv w:val="1"/>
      <w:marLeft w:val="0"/>
      <w:marRight w:val="0"/>
      <w:marTop w:val="0"/>
      <w:marBottom w:val="0"/>
      <w:divBdr>
        <w:top w:val="none" w:sz="0" w:space="0" w:color="auto"/>
        <w:left w:val="none" w:sz="0" w:space="0" w:color="auto"/>
        <w:bottom w:val="none" w:sz="0" w:space="0" w:color="auto"/>
        <w:right w:val="none" w:sz="0" w:space="0" w:color="auto"/>
      </w:divBdr>
    </w:div>
    <w:div w:id="1029574662">
      <w:bodyDiv w:val="1"/>
      <w:marLeft w:val="0"/>
      <w:marRight w:val="0"/>
      <w:marTop w:val="0"/>
      <w:marBottom w:val="0"/>
      <w:divBdr>
        <w:top w:val="none" w:sz="0" w:space="0" w:color="auto"/>
        <w:left w:val="none" w:sz="0" w:space="0" w:color="auto"/>
        <w:bottom w:val="none" w:sz="0" w:space="0" w:color="auto"/>
        <w:right w:val="none" w:sz="0" w:space="0" w:color="auto"/>
      </w:divBdr>
    </w:div>
    <w:div w:id="1053577660">
      <w:bodyDiv w:val="1"/>
      <w:marLeft w:val="0"/>
      <w:marRight w:val="0"/>
      <w:marTop w:val="0"/>
      <w:marBottom w:val="0"/>
      <w:divBdr>
        <w:top w:val="none" w:sz="0" w:space="0" w:color="auto"/>
        <w:left w:val="none" w:sz="0" w:space="0" w:color="auto"/>
        <w:bottom w:val="none" w:sz="0" w:space="0" w:color="auto"/>
        <w:right w:val="none" w:sz="0" w:space="0" w:color="auto"/>
      </w:divBdr>
    </w:div>
    <w:div w:id="1073966652">
      <w:bodyDiv w:val="1"/>
      <w:marLeft w:val="0"/>
      <w:marRight w:val="0"/>
      <w:marTop w:val="0"/>
      <w:marBottom w:val="0"/>
      <w:divBdr>
        <w:top w:val="none" w:sz="0" w:space="0" w:color="auto"/>
        <w:left w:val="none" w:sz="0" w:space="0" w:color="auto"/>
        <w:bottom w:val="none" w:sz="0" w:space="0" w:color="auto"/>
        <w:right w:val="none" w:sz="0" w:space="0" w:color="auto"/>
      </w:divBdr>
    </w:div>
    <w:div w:id="1179395185">
      <w:bodyDiv w:val="1"/>
      <w:marLeft w:val="0"/>
      <w:marRight w:val="0"/>
      <w:marTop w:val="0"/>
      <w:marBottom w:val="0"/>
      <w:divBdr>
        <w:top w:val="none" w:sz="0" w:space="0" w:color="auto"/>
        <w:left w:val="none" w:sz="0" w:space="0" w:color="auto"/>
        <w:bottom w:val="none" w:sz="0" w:space="0" w:color="auto"/>
        <w:right w:val="none" w:sz="0" w:space="0" w:color="auto"/>
      </w:divBdr>
    </w:div>
    <w:div w:id="1208640377">
      <w:bodyDiv w:val="1"/>
      <w:marLeft w:val="0"/>
      <w:marRight w:val="0"/>
      <w:marTop w:val="0"/>
      <w:marBottom w:val="0"/>
      <w:divBdr>
        <w:top w:val="none" w:sz="0" w:space="0" w:color="auto"/>
        <w:left w:val="none" w:sz="0" w:space="0" w:color="auto"/>
        <w:bottom w:val="none" w:sz="0" w:space="0" w:color="auto"/>
        <w:right w:val="none" w:sz="0" w:space="0" w:color="auto"/>
      </w:divBdr>
    </w:div>
    <w:div w:id="1243369520">
      <w:bodyDiv w:val="1"/>
      <w:marLeft w:val="0"/>
      <w:marRight w:val="0"/>
      <w:marTop w:val="0"/>
      <w:marBottom w:val="0"/>
      <w:divBdr>
        <w:top w:val="none" w:sz="0" w:space="0" w:color="auto"/>
        <w:left w:val="none" w:sz="0" w:space="0" w:color="auto"/>
        <w:bottom w:val="none" w:sz="0" w:space="0" w:color="auto"/>
        <w:right w:val="none" w:sz="0" w:space="0" w:color="auto"/>
      </w:divBdr>
    </w:div>
    <w:div w:id="1248231372">
      <w:bodyDiv w:val="1"/>
      <w:marLeft w:val="0"/>
      <w:marRight w:val="0"/>
      <w:marTop w:val="0"/>
      <w:marBottom w:val="0"/>
      <w:divBdr>
        <w:top w:val="none" w:sz="0" w:space="0" w:color="auto"/>
        <w:left w:val="none" w:sz="0" w:space="0" w:color="auto"/>
        <w:bottom w:val="none" w:sz="0" w:space="0" w:color="auto"/>
        <w:right w:val="none" w:sz="0" w:space="0" w:color="auto"/>
      </w:divBdr>
    </w:div>
    <w:div w:id="1263951704">
      <w:bodyDiv w:val="1"/>
      <w:marLeft w:val="0"/>
      <w:marRight w:val="0"/>
      <w:marTop w:val="0"/>
      <w:marBottom w:val="0"/>
      <w:divBdr>
        <w:top w:val="none" w:sz="0" w:space="0" w:color="auto"/>
        <w:left w:val="none" w:sz="0" w:space="0" w:color="auto"/>
        <w:bottom w:val="none" w:sz="0" w:space="0" w:color="auto"/>
        <w:right w:val="none" w:sz="0" w:space="0" w:color="auto"/>
      </w:divBdr>
    </w:div>
    <w:div w:id="1405832895">
      <w:bodyDiv w:val="1"/>
      <w:marLeft w:val="0"/>
      <w:marRight w:val="0"/>
      <w:marTop w:val="0"/>
      <w:marBottom w:val="0"/>
      <w:divBdr>
        <w:top w:val="none" w:sz="0" w:space="0" w:color="auto"/>
        <w:left w:val="none" w:sz="0" w:space="0" w:color="auto"/>
        <w:bottom w:val="none" w:sz="0" w:space="0" w:color="auto"/>
        <w:right w:val="none" w:sz="0" w:space="0" w:color="auto"/>
      </w:divBdr>
    </w:div>
    <w:div w:id="1844008230">
      <w:bodyDiv w:val="1"/>
      <w:marLeft w:val="0"/>
      <w:marRight w:val="0"/>
      <w:marTop w:val="0"/>
      <w:marBottom w:val="0"/>
      <w:divBdr>
        <w:top w:val="none" w:sz="0" w:space="0" w:color="auto"/>
        <w:left w:val="none" w:sz="0" w:space="0" w:color="auto"/>
        <w:bottom w:val="none" w:sz="0" w:space="0" w:color="auto"/>
        <w:right w:val="none" w:sz="0" w:space="0" w:color="auto"/>
      </w:divBdr>
    </w:div>
    <w:div w:id="196739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3" Type="http://schemas.microsoft.com/office/2007/relationships/stylesWithEffects" Target="stylesWithEffects.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chart" Target="charts/chart10.xml"/><Relationship Id="rId10" Type="http://schemas.openxmlformats.org/officeDocument/2006/relationships/chart" Target="charts/chart5.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R.%20ICE\Contacts\Desktop\Videlis\Assignment%202\problem%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R.%20ICE\Contacts\Desktop\Videlis\Assignment%202\problem%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R.%20ICE\Contacts\Desktop\Videlis\Assignment%202\problem%20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R.%20ICE\Contacts\Desktop\Videlis\Assignment%202\Problem%202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R.%20ICE\Contacts\Desktop\Videlis\Assignment%202\Problem%202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R.%20ICE\Contacts\Desktop\Videlis\Assignment%202\Problem%202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MR.%20ICE\Contacts\Desktop\Videlis\Assignment%202\Problem%202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MR.%20ICE\Contacts\Desktop\Videlis\Assignment%202\problem%2034.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MR.%20ICE\Contacts\Desktop\Videlis\Assignment%202\problem%2034.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MR.%20ICE\Contacts\Desktop\Videlis\Assignment%202\problem%2034.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MR.%20ICE\Contacts\Desktop\Videlis\Assignment%202\problem%2034.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MR.%20ICE\Contacts\Desktop\Videlis\Assignment%202\problem%2034.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MR.%20ICE\Contacts\Desktop\Videlis\Assignment%202\problem%203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Column Chart of Opinions on gender</a:t>
            </a:r>
          </a:p>
        </c:rich>
      </c:tx>
      <c:overlay val="0"/>
    </c:title>
    <c:autoTitleDeleted val="0"/>
    <c:plotArea>
      <c:layout/>
      <c:barChart>
        <c:barDir val="col"/>
        <c:grouping val="clustered"/>
        <c:varyColors val="0"/>
        <c:ser>
          <c:idx val="0"/>
          <c:order val="0"/>
          <c:tx>
            <c:strRef>
              <c:f>'Solution a'!$E$15</c:f>
              <c:strCache>
                <c:ptCount val="1"/>
                <c:pt idx="0">
                  <c:v>Male</c:v>
                </c:pt>
              </c:strCache>
            </c:strRef>
          </c:tx>
          <c:invertIfNegative val="0"/>
          <c:cat>
            <c:strRef>
              <c:f>'Solution a'!$F$14:$J$14</c:f>
              <c:strCache>
                <c:ptCount val="5"/>
                <c:pt idx="0">
                  <c:v>Agree</c:v>
                </c:pt>
                <c:pt idx="1">
                  <c:v>Disagree</c:v>
                </c:pt>
                <c:pt idx="2">
                  <c:v>Neutral</c:v>
                </c:pt>
                <c:pt idx="3">
                  <c:v>Strongly Agree</c:v>
                </c:pt>
                <c:pt idx="4">
                  <c:v>Strongly Disagree</c:v>
                </c:pt>
              </c:strCache>
            </c:strRef>
          </c:cat>
          <c:val>
            <c:numRef>
              <c:f>'Solution a'!$F$15:$J$15</c:f>
              <c:numCache>
                <c:formatCode>0%</c:formatCode>
                <c:ptCount val="5"/>
                <c:pt idx="0">
                  <c:v>0.2</c:v>
                </c:pt>
                <c:pt idx="1">
                  <c:v>0.20606060606060606</c:v>
                </c:pt>
                <c:pt idx="2">
                  <c:v>0.17575757575757575</c:v>
                </c:pt>
                <c:pt idx="3">
                  <c:v>0.24242424242424243</c:v>
                </c:pt>
                <c:pt idx="4">
                  <c:v>0.17575757575757575</c:v>
                </c:pt>
              </c:numCache>
            </c:numRef>
          </c:val>
        </c:ser>
        <c:ser>
          <c:idx val="1"/>
          <c:order val="1"/>
          <c:tx>
            <c:strRef>
              <c:f>'Solution a'!$E$16</c:f>
              <c:strCache>
                <c:ptCount val="1"/>
                <c:pt idx="0">
                  <c:v>Female</c:v>
                </c:pt>
              </c:strCache>
            </c:strRef>
          </c:tx>
          <c:invertIfNegative val="0"/>
          <c:cat>
            <c:strRef>
              <c:f>'Solution a'!$F$14:$J$14</c:f>
              <c:strCache>
                <c:ptCount val="5"/>
                <c:pt idx="0">
                  <c:v>Agree</c:v>
                </c:pt>
                <c:pt idx="1">
                  <c:v>Disagree</c:v>
                </c:pt>
                <c:pt idx="2">
                  <c:v>Neutral</c:v>
                </c:pt>
                <c:pt idx="3">
                  <c:v>Strongly Agree</c:v>
                </c:pt>
                <c:pt idx="4">
                  <c:v>Strongly Disagree</c:v>
                </c:pt>
              </c:strCache>
            </c:strRef>
          </c:cat>
          <c:val>
            <c:numRef>
              <c:f>'Solution a'!$F$16:$J$16</c:f>
              <c:numCache>
                <c:formatCode>0%</c:formatCode>
                <c:ptCount val="5"/>
                <c:pt idx="0">
                  <c:v>0.20940170940170941</c:v>
                </c:pt>
                <c:pt idx="1">
                  <c:v>0.21794871794871795</c:v>
                </c:pt>
                <c:pt idx="2">
                  <c:v>0.16666666666666666</c:v>
                </c:pt>
                <c:pt idx="3">
                  <c:v>0.19658119658119658</c:v>
                </c:pt>
                <c:pt idx="4">
                  <c:v>0.20940170940170941</c:v>
                </c:pt>
              </c:numCache>
            </c:numRef>
          </c:val>
        </c:ser>
        <c:dLbls>
          <c:showLegendKey val="0"/>
          <c:showVal val="0"/>
          <c:showCatName val="0"/>
          <c:showSerName val="0"/>
          <c:showPercent val="0"/>
          <c:showBubbleSize val="0"/>
        </c:dLbls>
        <c:gapWidth val="150"/>
        <c:axId val="157346048"/>
        <c:axId val="160502144"/>
      </c:barChart>
      <c:catAx>
        <c:axId val="157346048"/>
        <c:scaling>
          <c:orientation val="minMax"/>
        </c:scaling>
        <c:delete val="0"/>
        <c:axPos val="b"/>
        <c:title>
          <c:tx>
            <c:rich>
              <a:bodyPr/>
              <a:lstStyle/>
              <a:p>
                <a:pPr>
                  <a:defRPr/>
                </a:pPr>
                <a:r>
                  <a:rPr lang="en-US"/>
                  <a:t>Opinion</a:t>
                </a:r>
              </a:p>
            </c:rich>
          </c:tx>
          <c:overlay val="0"/>
        </c:title>
        <c:majorTickMark val="out"/>
        <c:minorTickMark val="none"/>
        <c:tickLblPos val="nextTo"/>
        <c:crossAx val="160502144"/>
        <c:crosses val="autoZero"/>
        <c:auto val="1"/>
        <c:lblAlgn val="ctr"/>
        <c:lblOffset val="100"/>
        <c:noMultiLvlLbl val="0"/>
      </c:catAx>
      <c:valAx>
        <c:axId val="160502144"/>
        <c:scaling>
          <c:orientation val="minMax"/>
        </c:scaling>
        <c:delete val="0"/>
        <c:axPos val="l"/>
        <c:majorGridlines/>
        <c:title>
          <c:tx>
            <c:rich>
              <a:bodyPr rot="-5400000" vert="horz"/>
              <a:lstStyle/>
              <a:p>
                <a:pPr>
                  <a:defRPr/>
                </a:pPr>
                <a:r>
                  <a:rPr lang="en-US"/>
                  <a:t>frequency</a:t>
                </a:r>
              </a:p>
            </c:rich>
          </c:tx>
          <c:overlay val="0"/>
        </c:title>
        <c:numFmt formatCode="0%" sourceLinked="1"/>
        <c:majorTickMark val="out"/>
        <c:minorTickMark val="none"/>
        <c:tickLblPos val="nextTo"/>
        <c:crossAx val="15734604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Column Chart of Opinions on Age</a:t>
            </a:r>
          </a:p>
        </c:rich>
      </c:tx>
      <c:overlay val="0"/>
    </c:title>
    <c:autoTitleDeleted val="0"/>
    <c:plotArea>
      <c:layout/>
      <c:barChart>
        <c:barDir val="col"/>
        <c:grouping val="clustered"/>
        <c:varyColors val="0"/>
        <c:ser>
          <c:idx val="0"/>
          <c:order val="0"/>
          <c:tx>
            <c:strRef>
              <c:f>'Solution b'!$D$17</c:f>
              <c:strCache>
                <c:ptCount val="1"/>
                <c:pt idx="0">
                  <c:v>Young</c:v>
                </c:pt>
              </c:strCache>
            </c:strRef>
          </c:tx>
          <c:invertIfNegative val="0"/>
          <c:cat>
            <c:strRef>
              <c:f>'Solution b'!$E$16:$I$16</c:f>
              <c:strCache>
                <c:ptCount val="5"/>
                <c:pt idx="0">
                  <c:v>Agree</c:v>
                </c:pt>
                <c:pt idx="1">
                  <c:v>Disagree</c:v>
                </c:pt>
                <c:pt idx="2">
                  <c:v>Neutral</c:v>
                </c:pt>
                <c:pt idx="3">
                  <c:v>Strongly Agree</c:v>
                </c:pt>
                <c:pt idx="4">
                  <c:v>Strongly Disagree</c:v>
                </c:pt>
              </c:strCache>
            </c:strRef>
          </c:cat>
          <c:val>
            <c:numRef>
              <c:f>'Solution b'!$E$17:$I$17</c:f>
              <c:numCache>
                <c:formatCode>0%</c:formatCode>
                <c:ptCount val="5"/>
                <c:pt idx="0">
                  <c:v>0.18390804597701149</c:v>
                </c:pt>
                <c:pt idx="1">
                  <c:v>0.21839080459770116</c:v>
                </c:pt>
                <c:pt idx="2">
                  <c:v>0.17241379310344829</c:v>
                </c:pt>
                <c:pt idx="3">
                  <c:v>0.20689655172413793</c:v>
                </c:pt>
                <c:pt idx="4">
                  <c:v>0.21839080459770116</c:v>
                </c:pt>
              </c:numCache>
            </c:numRef>
          </c:val>
        </c:ser>
        <c:ser>
          <c:idx val="1"/>
          <c:order val="1"/>
          <c:tx>
            <c:strRef>
              <c:f>'Solution b'!$D$18</c:f>
              <c:strCache>
                <c:ptCount val="1"/>
                <c:pt idx="0">
                  <c:v>Middle-aged</c:v>
                </c:pt>
              </c:strCache>
            </c:strRef>
          </c:tx>
          <c:invertIfNegative val="0"/>
          <c:cat>
            <c:strRef>
              <c:f>'Solution b'!$E$16:$I$16</c:f>
              <c:strCache>
                <c:ptCount val="5"/>
                <c:pt idx="0">
                  <c:v>Agree</c:v>
                </c:pt>
                <c:pt idx="1">
                  <c:v>Disagree</c:v>
                </c:pt>
                <c:pt idx="2">
                  <c:v>Neutral</c:v>
                </c:pt>
                <c:pt idx="3">
                  <c:v>Strongly Agree</c:v>
                </c:pt>
                <c:pt idx="4">
                  <c:v>Strongly Disagree</c:v>
                </c:pt>
              </c:strCache>
            </c:strRef>
          </c:cat>
          <c:val>
            <c:numRef>
              <c:f>'Solution b'!$E$18:$I$18</c:f>
              <c:numCache>
                <c:formatCode>0%</c:formatCode>
                <c:ptCount val="5"/>
                <c:pt idx="0">
                  <c:v>0.22018348623853212</c:v>
                </c:pt>
                <c:pt idx="1">
                  <c:v>0.20642201834862386</c:v>
                </c:pt>
                <c:pt idx="2">
                  <c:v>0.1743119266055046</c:v>
                </c:pt>
                <c:pt idx="3">
                  <c:v>0.22018348623853212</c:v>
                </c:pt>
                <c:pt idx="4">
                  <c:v>0.17889908256880735</c:v>
                </c:pt>
              </c:numCache>
            </c:numRef>
          </c:val>
        </c:ser>
        <c:ser>
          <c:idx val="2"/>
          <c:order val="2"/>
          <c:tx>
            <c:strRef>
              <c:f>'Solution b'!$D$19</c:f>
              <c:strCache>
                <c:ptCount val="1"/>
                <c:pt idx="0">
                  <c:v>Elderly</c:v>
                </c:pt>
              </c:strCache>
            </c:strRef>
          </c:tx>
          <c:invertIfNegative val="0"/>
          <c:cat>
            <c:strRef>
              <c:f>'Solution b'!$E$16:$I$16</c:f>
              <c:strCache>
                <c:ptCount val="5"/>
                <c:pt idx="0">
                  <c:v>Agree</c:v>
                </c:pt>
                <c:pt idx="1">
                  <c:v>Disagree</c:v>
                </c:pt>
                <c:pt idx="2">
                  <c:v>Neutral</c:v>
                </c:pt>
                <c:pt idx="3">
                  <c:v>Strongly Agree</c:v>
                </c:pt>
                <c:pt idx="4">
                  <c:v>Strongly Disagree</c:v>
                </c:pt>
              </c:strCache>
            </c:strRef>
          </c:cat>
          <c:val>
            <c:numRef>
              <c:f>'Solution b'!$E$19:$I$19</c:f>
              <c:numCache>
                <c:formatCode>0%</c:formatCode>
                <c:ptCount val="5"/>
                <c:pt idx="0">
                  <c:v>0.19148936170212766</c:v>
                </c:pt>
                <c:pt idx="1">
                  <c:v>0.22340425531914893</c:v>
                </c:pt>
                <c:pt idx="2">
                  <c:v>0.15957446808510639</c:v>
                </c:pt>
                <c:pt idx="3">
                  <c:v>0.21276595744680851</c:v>
                </c:pt>
                <c:pt idx="4">
                  <c:v>0.21276595744680851</c:v>
                </c:pt>
              </c:numCache>
            </c:numRef>
          </c:val>
        </c:ser>
        <c:dLbls>
          <c:showLegendKey val="0"/>
          <c:showVal val="0"/>
          <c:showCatName val="0"/>
          <c:showSerName val="0"/>
          <c:showPercent val="0"/>
          <c:showBubbleSize val="0"/>
        </c:dLbls>
        <c:gapWidth val="150"/>
        <c:axId val="160930048"/>
        <c:axId val="165046144"/>
      </c:barChart>
      <c:catAx>
        <c:axId val="160930048"/>
        <c:scaling>
          <c:orientation val="minMax"/>
        </c:scaling>
        <c:delete val="0"/>
        <c:axPos val="b"/>
        <c:title>
          <c:tx>
            <c:rich>
              <a:bodyPr/>
              <a:lstStyle/>
              <a:p>
                <a:pPr>
                  <a:defRPr/>
                </a:pPr>
                <a:r>
                  <a:rPr lang="en-US"/>
                  <a:t>Opinion</a:t>
                </a:r>
              </a:p>
            </c:rich>
          </c:tx>
          <c:overlay val="0"/>
        </c:title>
        <c:majorTickMark val="out"/>
        <c:minorTickMark val="none"/>
        <c:tickLblPos val="nextTo"/>
        <c:crossAx val="165046144"/>
        <c:crosses val="autoZero"/>
        <c:auto val="1"/>
        <c:lblAlgn val="ctr"/>
        <c:lblOffset val="100"/>
        <c:noMultiLvlLbl val="0"/>
      </c:catAx>
      <c:valAx>
        <c:axId val="165046144"/>
        <c:scaling>
          <c:orientation val="minMax"/>
        </c:scaling>
        <c:delete val="0"/>
        <c:axPos val="l"/>
        <c:majorGridlines/>
        <c:title>
          <c:tx>
            <c:rich>
              <a:bodyPr rot="-5400000" vert="horz"/>
              <a:lstStyle/>
              <a:p>
                <a:pPr>
                  <a:defRPr/>
                </a:pPr>
                <a:r>
                  <a:rPr lang="en-US"/>
                  <a:t>Frequency</a:t>
                </a:r>
              </a:p>
            </c:rich>
          </c:tx>
          <c:overlay val="0"/>
        </c:title>
        <c:numFmt formatCode="0%" sourceLinked="1"/>
        <c:majorTickMark val="out"/>
        <c:minorTickMark val="none"/>
        <c:tickLblPos val="nextTo"/>
        <c:crossAx val="16093004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Column Chart of Opinions on Salary</a:t>
            </a:r>
          </a:p>
        </c:rich>
      </c:tx>
      <c:overlay val="0"/>
    </c:title>
    <c:autoTitleDeleted val="0"/>
    <c:plotArea>
      <c:layout/>
      <c:barChart>
        <c:barDir val="col"/>
        <c:grouping val="clustered"/>
        <c:varyColors val="0"/>
        <c:ser>
          <c:idx val="0"/>
          <c:order val="0"/>
          <c:tx>
            <c:strRef>
              <c:f>'Solution c'!$G$21</c:f>
              <c:strCache>
                <c:ptCount val="1"/>
                <c:pt idx="0">
                  <c:v>Between 40k and &amp;70k</c:v>
                </c:pt>
              </c:strCache>
            </c:strRef>
          </c:tx>
          <c:invertIfNegative val="0"/>
          <c:cat>
            <c:strRef>
              <c:f>'Solution c'!$H$20:$L$20</c:f>
              <c:strCache>
                <c:ptCount val="5"/>
                <c:pt idx="0">
                  <c:v>Agree</c:v>
                </c:pt>
                <c:pt idx="1">
                  <c:v>Disagree</c:v>
                </c:pt>
                <c:pt idx="2">
                  <c:v>Neutral</c:v>
                </c:pt>
                <c:pt idx="3">
                  <c:v>Strongly Agree</c:v>
                </c:pt>
                <c:pt idx="4">
                  <c:v>Strongly Disagree</c:v>
                </c:pt>
              </c:strCache>
            </c:strRef>
          </c:cat>
          <c:val>
            <c:numRef>
              <c:f>'Solution c'!$H$21:$L$21</c:f>
              <c:numCache>
                <c:formatCode>0%</c:formatCode>
                <c:ptCount val="5"/>
                <c:pt idx="0">
                  <c:v>0.17647058823529413</c:v>
                </c:pt>
                <c:pt idx="1">
                  <c:v>0.25210084033613445</c:v>
                </c:pt>
                <c:pt idx="2">
                  <c:v>0.16806722689075632</c:v>
                </c:pt>
                <c:pt idx="3">
                  <c:v>0.21008403361344538</c:v>
                </c:pt>
                <c:pt idx="4">
                  <c:v>0.19327731092436976</c:v>
                </c:pt>
              </c:numCache>
            </c:numRef>
          </c:val>
        </c:ser>
        <c:ser>
          <c:idx val="1"/>
          <c:order val="1"/>
          <c:tx>
            <c:strRef>
              <c:f>'Solution c'!$G$22</c:f>
              <c:strCache>
                <c:ptCount val="1"/>
                <c:pt idx="0">
                  <c:v>Between 70k and 100k</c:v>
                </c:pt>
              </c:strCache>
            </c:strRef>
          </c:tx>
          <c:invertIfNegative val="0"/>
          <c:cat>
            <c:strRef>
              <c:f>'Solution c'!$H$20:$L$20</c:f>
              <c:strCache>
                <c:ptCount val="5"/>
                <c:pt idx="0">
                  <c:v>Agree</c:v>
                </c:pt>
                <c:pt idx="1">
                  <c:v>Disagree</c:v>
                </c:pt>
                <c:pt idx="2">
                  <c:v>Neutral</c:v>
                </c:pt>
                <c:pt idx="3">
                  <c:v>Strongly Agree</c:v>
                </c:pt>
                <c:pt idx="4">
                  <c:v>Strongly Disagree</c:v>
                </c:pt>
              </c:strCache>
            </c:strRef>
          </c:cat>
          <c:val>
            <c:numRef>
              <c:f>'Solution c'!$H$22:$L$22</c:f>
              <c:numCache>
                <c:formatCode>0%</c:formatCode>
                <c:ptCount val="5"/>
                <c:pt idx="0">
                  <c:v>0.23668639053254437</c:v>
                </c:pt>
                <c:pt idx="1">
                  <c:v>0.1893491124260355</c:v>
                </c:pt>
                <c:pt idx="2">
                  <c:v>0.17751479289940827</c:v>
                </c:pt>
                <c:pt idx="3">
                  <c:v>0.20118343195266272</c:v>
                </c:pt>
                <c:pt idx="4">
                  <c:v>0.19526627218934911</c:v>
                </c:pt>
              </c:numCache>
            </c:numRef>
          </c:val>
        </c:ser>
        <c:ser>
          <c:idx val="2"/>
          <c:order val="2"/>
          <c:tx>
            <c:strRef>
              <c:f>'Solution c'!$G$23</c:f>
              <c:strCache>
                <c:ptCount val="1"/>
                <c:pt idx="0">
                  <c:v>Greater than 100k</c:v>
                </c:pt>
              </c:strCache>
            </c:strRef>
          </c:tx>
          <c:invertIfNegative val="0"/>
          <c:cat>
            <c:strRef>
              <c:f>'Solution c'!$H$20:$L$20</c:f>
              <c:strCache>
                <c:ptCount val="5"/>
                <c:pt idx="0">
                  <c:v>Agree</c:v>
                </c:pt>
                <c:pt idx="1">
                  <c:v>Disagree</c:v>
                </c:pt>
                <c:pt idx="2">
                  <c:v>Neutral</c:v>
                </c:pt>
                <c:pt idx="3">
                  <c:v>Strongly Agree</c:v>
                </c:pt>
                <c:pt idx="4">
                  <c:v>Strongly Disagree</c:v>
                </c:pt>
              </c:strCache>
            </c:strRef>
          </c:cat>
          <c:val>
            <c:numRef>
              <c:f>'Solution c'!$H$23:$L$23</c:f>
              <c:numCache>
                <c:formatCode>0%</c:formatCode>
                <c:ptCount val="5"/>
                <c:pt idx="0">
                  <c:v>0.21176470588235294</c:v>
                </c:pt>
                <c:pt idx="1">
                  <c:v>0.2</c:v>
                </c:pt>
                <c:pt idx="2">
                  <c:v>0.15294117647058825</c:v>
                </c:pt>
                <c:pt idx="3">
                  <c:v>0.22352941176470589</c:v>
                </c:pt>
                <c:pt idx="4">
                  <c:v>0.21176470588235294</c:v>
                </c:pt>
              </c:numCache>
            </c:numRef>
          </c:val>
        </c:ser>
        <c:ser>
          <c:idx val="3"/>
          <c:order val="3"/>
          <c:tx>
            <c:strRef>
              <c:f>'Solution c'!$G$24</c:f>
              <c:strCache>
                <c:ptCount val="1"/>
                <c:pt idx="0">
                  <c:v>Less tha 40k</c:v>
                </c:pt>
              </c:strCache>
            </c:strRef>
          </c:tx>
          <c:invertIfNegative val="0"/>
          <c:cat>
            <c:strRef>
              <c:f>'Solution c'!$H$20:$L$20</c:f>
              <c:strCache>
                <c:ptCount val="5"/>
                <c:pt idx="0">
                  <c:v>Agree</c:v>
                </c:pt>
                <c:pt idx="1">
                  <c:v>Disagree</c:v>
                </c:pt>
                <c:pt idx="2">
                  <c:v>Neutral</c:v>
                </c:pt>
                <c:pt idx="3">
                  <c:v>Strongly Agree</c:v>
                </c:pt>
                <c:pt idx="4">
                  <c:v>Strongly Disagree</c:v>
                </c:pt>
              </c:strCache>
            </c:strRef>
          </c:cat>
          <c:val>
            <c:numRef>
              <c:f>'Solution c'!$H$24:$L$24</c:f>
              <c:numCache>
                <c:formatCode>0%</c:formatCode>
                <c:ptCount val="5"/>
                <c:pt idx="0">
                  <c:v>0.11538461538461539</c:v>
                </c:pt>
                <c:pt idx="1">
                  <c:v>0.23076923076923078</c:v>
                </c:pt>
                <c:pt idx="2">
                  <c:v>0.19230769230769232</c:v>
                </c:pt>
                <c:pt idx="3">
                  <c:v>0.30769230769230771</c:v>
                </c:pt>
                <c:pt idx="4">
                  <c:v>0.15384615384615385</c:v>
                </c:pt>
              </c:numCache>
            </c:numRef>
          </c:val>
        </c:ser>
        <c:dLbls>
          <c:showLegendKey val="0"/>
          <c:showVal val="0"/>
          <c:showCatName val="0"/>
          <c:showSerName val="0"/>
          <c:showPercent val="0"/>
          <c:showBubbleSize val="0"/>
        </c:dLbls>
        <c:gapWidth val="150"/>
        <c:axId val="152851200"/>
        <c:axId val="152853120"/>
      </c:barChart>
      <c:catAx>
        <c:axId val="152851200"/>
        <c:scaling>
          <c:orientation val="minMax"/>
        </c:scaling>
        <c:delete val="0"/>
        <c:axPos val="b"/>
        <c:title>
          <c:tx>
            <c:rich>
              <a:bodyPr/>
              <a:lstStyle/>
              <a:p>
                <a:pPr>
                  <a:defRPr/>
                </a:pPr>
                <a:r>
                  <a:rPr lang="en-US"/>
                  <a:t>Opinion</a:t>
                </a:r>
              </a:p>
            </c:rich>
          </c:tx>
          <c:overlay val="0"/>
        </c:title>
        <c:majorTickMark val="out"/>
        <c:minorTickMark val="none"/>
        <c:tickLblPos val="nextTo"/>
        <c:crossAx val="152853120"/>
        <c:crosses val="autoZero"/>
        <c:auto val="1"/>
        <c:lblAlgn val="ctr"/>
        <c:lblOffset val="100"/>
        <c:noMultiLvlLbl val="0"/>
      </c:catAx>
      <c:valAx>
        <c:axId val="152853120"/>
        <c:scaling>
          <c:orientation val="minMax"/>
        </c:scaling>
        <c:delete val="0"/>
        <c:axPos val="l"/>
        <c:majorGridlines/>
        <c:title>
          <c:tx>
            <c:rich>
              <a:bodyPr rot="-5400000" vert="horz"/>
              <a:lstStyle/>
              <a:p>
                <a:pPr>
                  <a:defRPr/>
                </a:pPr>
                <a:r>
                  <a:rPr lang="en-US"/>
                  <a:t>Frequency</a:t>
                </a:r>
              </a:p>
            </c:rich>
          </c:tx>
          <c:overlay val="0"/>
        </c:title>
        <c:numFmt formatCode="0%" sourceLinked="1"/>
        <c:majorTickMark val="out"/>
        <c:minorTickMark val="none"/>
        <c:tickLblPos val="nextTo"/>
        <c:crossAx val="15285120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Scatterplot of Annual Salary on Age</a:t>
            </a:r>
          </a:p>
        </c:rich>
      </c:tx>
      <c:overlay val="0"/>
    </c:title>
    <c:autoTitleDeleted val="0"/>
    <c:plotArea>
      <c:layout/>
      <c:scatterChart>
        <c:scatterStyle val="lineMarker"/>
        <c:varyColors val="0"/>
        <c:ser>
          <c:idx val="0"/>
          <c:order val="0"/>
          <c:tx>
            <c:strRef>
              <c:f>'Solution b &amp; c'!$B$1</c:f>
              <c:strCache>
                <c:ptCount val="1"/>
                <c:pt idx="0">
                  <c:v>Annual Salary</c:v>
                </c:pt>
              </c:strCache>
            </c:strRef>
          </c:tx>
          <c:spPr>
            <a:ln w="28575">
              <a:noFill/>
            </a:ln>
          </c:spPr>
          <c:xVal>
            <c:numRef>
              <c:f>'Solution b &amp; c'!$A$2:$A$205</c:f>
              <c:numCache>
                <c:formatCode>General</c:formatCode>
                <c:ptCount val="204"/>
                <c:pt idx="0">
                  <c:v>39</c:v>
                </c:pt>
                <c:pt idx="1">
                  <c:v>44</c:v>
                </c:pt>
                <c:pt idx="2">
                  <c:v>24</c:v>
                </c:pt>
                <c:pt idx="3">
                  <c:v>25</c:v>
                </c:pt>
                <c:pt idx="4">
                  <c:v>56</c:v>
                </c:pt>
                <c:pt idx="5">
                  <c:v>41</c:v>
                </c:pt>
                <c:pt idx="6">
                  <c:v>33</c:v>
                </c:pt>
                <c:pt idx="7">
                  <c:v>37</c:v>
                </c:pt>
                <c:pt idx="8">
                  <c:v>51</c:v>
                </c:pt>
                <c:pt idx="9">
                  <c:v>23</c:v>
                </c:pt>
                <c:pt idx="10">
                  <c:v>31</c:v>
                </c:pt>
                <c:pt idx="11">
                  <c:v>27</c:v>
                </c:pt>
                <c:pt idx="12">
                  <c:v>47</c:v>
                </c:pt>
                <c:pt idx="13">
                  <c:v>35</c:v>
                </c:pt>
                <c:pt idx="14">
                  <c:v>29</c:v>
                </c:pt>
                <c:pt idx="15">
                  <c:v>46</c:v>
                </c:pt>
                <c:pt idx="16">
                  <c:v>50</c:v>
                </c:pt>
                <c:pt idx="17">
                  <c:v>30</c:v>
                </c:pt>
                <c:pt idx="18">
                  <c:v>34</c:v>
                </c:pt>
                <c:pt idx="19">
                  <c:v>42</c:v>
                </c:pt>
                <c:pt idx="20">
                  <c:v>51</c:v>
                </c:pt>
                <c:pt idx="21">
                  <c:v>63</c:v>
                </c:pt>
                <c:pt idx="22">
                  <c:v>28</c:v>
                </c:pt>
                <c:pt idx="23">
                  <c:v>32</c:v>
                </c:pt>
                <c:pt idx="24">
                  <c:v>55</c:v>
                </c:pt>
                <c:pt idx="25">
                  <c:v>45</c:v>
                </c:pt>
                <c:pt idx="26">
                  <c:v>34</c:v>
                </c:pt>
                <c:pt idx="27">
                  <c:v>33</c:v>
                </c:pt>
                <c:pt idx="28">
                  <c:v>23</c:v>
                </c:pt>
                <c:pt idx="29">
                  <c:v>40</c:v>
                </c:pt>
                <c:pt idx="30">
                  <c:v>48</c:v>
                </c:pt>
                <c:pt idx="31">
                  <c:v>27</c:v>
                </c:pt>
                <c:pt idx="32">
                  <c:v>36</c:v>
                </c:pt>
                <c:pt idx="33">
                  <c:v>58</c:v>
                </c:pt>
                <c:pt idx="34">
                  <c:v>31</c:v>
                </c:pt>
                <c:pt idx="35">
                  <c:v>21</c:v>
                </c:pt>
                <c:pt idx="36">
                  <c:v>47</c:v>
                </c:pt>
                <c:pt idx="37">
                  <c:v>35</c:v>
                </c:pt>
                <c:pt idx="38">
                  <c:v>52</c:v>
                </c:pt>
                <c:pt idx="39">
                  <c:v>29</c:v>
                </c:pt>
                <c:pt idx="40">
                  <c:v>42</c:v>
                </c:pt>
                <c:pt idx="41">
                  <c:v>60</c:v>
                </c:pt>
                <c:pt idx="42">
                  <c:v>50</c:v>
                </c:pt>
                <c:pt idx="43">
                  <c:v>33</c:v>
                </c:pt>
                <c:pt idx="44">
                  <c:v>26</c:v>
                </c:pt>
                <c:pt idx="45">
                  <c:v>38</c:v>
                </c:pt>
                <c:pt idx="46">
                  <c:v>44</c:v>
                </c:pt>
                <c:pt idx="47">
                  <c:v>25</c:v>
                </c:pt>
                <c:pt idx="48">
                  <c:v>37</c:v>
                </c:pt>
                <c:pt idx="49">
                  <c:v>53</c:v>
                </c:pt>
                <c:pt idx="50">
                  <c:v>46</c:v>
                </c:pt>
                <c:pt idx="51">
                  <c:v>20</c:v>
                </c:pt>
                <c:pt idx="52">
                  <c:v>34</c:v>
                </c:pt>
                <c:pt idx="53">
                  <c:v>60</c:v>
                </c:pt>
                <c:pt idx="54">
                  <c:v>36</c:v>
                </c:pt>
                <c:pt idx="55">
                  <c:v>41</c:v>
                </c:pt>
                <c:pt idx="56">
                  <c:v>33</c:v>
                </c:pt>
                <c:pt idx="57">
                  <c:v>29</c:v>
                </c:pt>
                <c:pt idx="58">
                  <c:v>48</c:v>
                </c:pt>
                <c:pt idx="59">
                  <c:v>43</c:v>
                </c:pt>
                <c:pt idx="60">
                  <c:v>61</c:v>
                </c:pt>
                <c:pt idx="61">
                  <c:v>30</c:v>
                </c:pt>
                <c:pt idx="62">
                  <c:v>36</c:v>
                </c:pt>
                <c:pt idx="63">
                  <c:v>48</c:v>
                </c:pt>
                <c:pt idx="64">
                  <c:v>29</c:v>
                </c:pt>
                <c:pt idx="65">
                  <c:v>26</c:v>
                </c:pt>
                <c:pt idx="66">
                  <c:v>49</c:v>
                </c:pt>
                <c:pt idx="67">
                  <c:v>28</c:v>
                </c:pt>
                <c:pt idx="68">
                  <c:v>44</c:v>
                </c:pt>
                <c:pt idx="69">
                  <c:v>48</c:v>
                </c:pt>
                <c:pt idx="70">
                  <c:v>50</c:v>
                </c:pt>
                <c:pt idx="71">
                  <c:v>48</c:v>
                </c:pt>
                <c:pt idx="72">
                  <c:v>30</c:v>
                </c:pt>
                <c:pt idx="73">
                  <c:v>41</c:v>
                </c:pt>
                <c:pt idx="74">
                  <c:v>35</c:v>
                </c:pt>
                <c:pt idx="75">
                  <c:v>28</c:v>
                </c:pt>
                <c:pt idx="76">
                  <c:v>33</c:v>
                </c:pt>
                <c:pt idx="77">
                  <c:v>61</c:v>
                </c:pt>
                <c:pt idx="78">
                  <c:v>53</c:v>
                </c:pt>
                <c:pt idx="79">
                  <c:v>48</c:v>
                </c:pt>
                <c:pt idx="80">
                  <c:v>47</c:v>
                </c:pt>
                <c:pt idx="81">
                  <c:v>48</c:v>
                </c:pt>
                <c:pt idx="82">
                  <c:v>55</c:v>
                </c:pt>
                <c:pt idx="83">
                  <c:v>32</c:v>
                </c:pt>
                <c:pt idx="84">
                  <c:v>60</c:v>
                </c:pt>
                <c:pt idx="85">
                  <c:v>50</c:v>
                </c:pt>
                <c:pt idx="86">
                  <c:v>49</c:v>
                </c:pt>
                <c:pt idx="87">
                  <c:v>22</c:v>
                </c:pt>
                <c:pt idx="88">
                  <c:v>51</c:v>
                </c:pt>
                <c:pt idx="89">
                  <c:v>22</c:v>
                </c:pt>
                <c:pt idx="90">
                  <c:v>47</c:v>
                </c:pt>
                <c:pt idx="91">
                  <c:v>41</c:v>
                </c:pt>
                <c:pt idx="92">
                  <c:v>24</c:v>
                </c:pt>
                <c:pt idx="93">
                  <c:v>64</c:v>
                </c:pt>
                <c:pt idx="94">
                  <c:v>43</c:v>
                </c:pt>
                <c:pt idx="95">
                  <c:v>22</c:v>
                </c:pt>
                <c:pt idx="96">
                  <c:v>59</c:v>
                </c:pt>
                <c:pt idx="97">
                  <c:v>32</c:v>
                </c:pt>
                <c:pt idx="98">
                  <c:v>45</c:v>
                </c:pt>
                <c:pt idx="99">
                  <c:v>47</c:v>
                </c:pt>
                <c:pt idx="100">
                  <c:v>29</c:v>
                </c:pt>
                <c:pt idx="101">
                  <c:v>61</c:v>
                </c:pt>
                <c:pt idx="102">
                  <c:v>57</c:v>
                </c:pt>
                <c:pt idx="103">
                  <c:v>65</c:v>
                </c:pt>
                <c:pt idx="104">
                  <c:v>34</c:v>
                </c:pt>
                <c:pt idx="105">
                  <c:v>54</c:v>
                </c:pt>
                <c:pt idx="106">
                  <c:v>30</c:v>
                </c:pt>
                <c:pt idx="107">
                  <c:v>39</c:v>
                </c:pt>
                <c:pt idx="108">
                  <c:v>32</c:v>
                </c:pt>
                <c:pt idx="109">
                  <c:v>24</c:v>
                </c:pt>
                <c:pt idx="110">
                  <c:v>40</c:v>
                </c:pt>
                <c:pt idx="111">
                  <c:v>52</c:v>
                </c:pt>
                <c:pt idx="112">
                  <c:v>28</c:v>
                </c:pt>
                <c:pt idx="113">
                  <c:v>53</c:v>
                </c:pt>
                <c:pt idx="114">
                  <c:v>43</c:v>
                </c:pt>
                <c:pt idx="115">
                  <c:v>30</c:v>
                </c:pt>
                <c:pt idx="116">
                  <c:v>46</c:v>
                </c:pt>
                <c:pt idx="117">
                  <c:v>38</c:v>
                </c:pt>
                <c:pt idx="118">
                  <c:v>28</c:v>
                </c:pt>
                <c:pt idx="119">
                  <c:v>46</c:v>
                </c:pt>
                <c:pt idx="120">
                  <c:v>30</c:v>
                </c:pt>
                <c:pt idx="121">
                  <c:v>43</c:v>
                </c:pt>
                <c:pt idx="122">
                  <c:v>29</c:v>
                </c:pt>
                <c:pt idx="123">
                  <c:v>48</c:v>
                </c:pt>
                <c:pt idx="124">
                  <c:v>42</c:v>
                </c:pt>
                <c:pt idx="125">
                  <c:v>18</c:v>
                </c:pt>
                <c:pt idx="126">
                  <c:v>35</c:v>
                </c:pt>
                <c:pt idx="127">
                  <c:v>22</c:v>
                </c:pt>
                <c:pt idx="128">
                  <c:v>44</c:v>
                </c:pt>
                <c:pt idx="129">
                  <c:v>47</c:v>
                </c:pt>
                <c:pt idx="130">
                  <c:v>34</c:v>
                </c:pt>
                <c:pt idx="131">
                  <c:v>37</c:v>
                </c:pt>
                <c:pt idx="132">
                  <c:v>49</c:v>
                </c:pt>
                <c:pt idx="133">
                  <c:v>32</c:v>
                </c:pt>
                <c:pt idx="134">
                  <c:v>37</c:v>
                </c:pt>
                <c:pt idx="135">
                  <c:v>29</c:v>
                </c:pt>
                <c:pt idx="136">
                  <c:v>24</c:v>
                </c:pt>
                <c:pt idx="137">
                  <c:v>43</c:v>
                </c:pt>
                <c:pt idx="138">
                  <c:v>54</c:v>
                </c:pt>
                <c:pt idx="139">
                  <c:v>26</c:v>
                </c:pt>
                <c:pt idx="140">
                  <c:v>47</c:v>
                </c:pt>
                <c:pt idx="141">
                  <c:v>31</c:v>
                </c:pt>
                <c:pt idx="142">
                  <c:v>33</c:v>
                </c:pt>
                <c:pt idx="143">
                  <c:v>42</c:v>
                </c:pt>
                <c:pt idx="144">
                  <c:v>34</c:v>
                </c:pt>
                <c:pt idx="145">
                  <c:v>59</c:v>
                </c:pt>
                <c:pt idx="146">
                  <c:v>43</c:v>
                </c:pt>
                <c:pt idx="147">
                  <c:v>30</c:v>
                </c:pt>
                <c:pt idx="148">
                  <c:v>45</c:v>
                </c:pt>
                <c:pt idx="149">
                  <c:v>50</c:v>
                </c:pt>
                <c:pt idx="150">
                  <c:v>23</c:v>
                </c:pt>
                <c:pt idx="151">
                  <c:v>44</c:v>
                </c:pt>
                <c:pt idx="152">
                  <c:v>48</c:v>
                </c:pt>
                <c:pt idx="153">
                  <c:v>47</c:v>
                </c:pt>
                <c:pt idx="154">
                  <c:v>20</c:v>
                </c:pt>
                <c:pt idx="155">
                  <c:v>31</c:v>
                </c:pt>
                <c:pt idx="156">
                  <c:v>30</c:v>
                </c:pt>
                <c:pt idx="157">
                  <c:v>42</c:v>
                </c:pt>
                <c:pt idx="158">
                  <c:v>25</c:v>
                </c:pt>
                <c:pt idx="159">
                  <c:v>24</c:v>
                </c:pt>
                <c:pt idx="160">
                  <c:v>36</c:v>
                </c:pt>
                <c:pt idx="161">
                  <c:v>32</c:v>
                </c:pt>
                <c:pt idx="162">
                  <c:v>27</c:v>
                </c:pt>
                <c:pt idx="163">
                  <c:v>55</c:v>
                </c:pt>
                <c:pt idx="164">
                  <c:v>36</c:v>
                </c:pt>
                <c:pt idx="165">
                  <c:v>22</c:v>
                </c:pt>
                <c:pt idx="166">
                  <c:v>25</c:v>
                </c:pt>
                <c:pt idx="167">
                  <c:v>47</c:v>
                </c:pt>
                <c:pt idx="168">
                  <c:v>43</c:v>
                </c:pt>
                <c:pt idx="169">
                  <c:v>53</c:v>
                </c:pt>
                <c:pt idx="170">
                  <c:v>38</c:v>
                </c:pt>
                <c:pt idx="171">
                  <c:v>39</c:v>
                </c:pt>
                <c:pt idx="172">
                  <c:v>35</c:v>
                </c:pt>
                <c:pt idx="173">
                  <c:v>23</c:v>
                </c:pt>
                <c:pt idx="174">
                  <c:v>43</c:v>
                </c:pt>
                <c:pt idx="175">
                  <c:v>33</c:v>
                </c:pt>
                <c:pt idx="176">
                  <c:v>44</c:v>
                </c:pt>
                <c:pt idx="177">
                  <c:v>33</c:v>
                </c:pt>
                <c:pt idx="178">
                  <c:v>31</c:v>
                </c:pt>
                <c:pt idx="179">
                  <c:v>36</c:v>
                </c:pt>
                <c:pt idx="180">
                  <c:v>45</c:v>
                </c:pt>
                <c:pt idx="181">
                  <c:v>45</c:v>
                </c:pt>
                <c:pt idx="182">
                  <c:v>39</c:v>
                </c:pt>
                <c:pt idx="183">
                  <c:v>45</c:v>
                </c:pt>
                <c:pt idx="184">
                  <c:v>25</c:v>
                </c:pt>
                <c:pt idx="185">
                  <c:v>34</c:v>
                </c:pt>
                <c:pt idx="186">
                  <c:v>53</c:v>
                </c:pt>
                <c:pt idx="187">
                  <c:v>35</c:v>
                </c:pt>
                <c:pt idx="188">
                  <c:v>52</c:v>
                </c:pt>
                <c:pt idx="189">
                  <c:v>33</c:v>
                </c:pt>
                <c:pt idx="190">
                  <c:v>49</c:v>
                </c:pt>
                <c:pt idx="191">
                  <c:v>59</c:v>
                </c:pt>
                <c:pt idx="192">
                  <c:v>35</c:v>
                </c:pt>
                <c:pt idx="193">
                  <c:v>44</c:v>
                </c:pt>
                <c:pt idx="194">
                  <c:v>61</c:v>
                </c:pt>
                <c:pt idx="195">
                  <c:v>43</c:v>
                </c:pt>
                <c:pt idx="196">
                  <c:v>30</c:v>
                </c:pt>
                <c:pt idx="197">
                  <c:v>32</c:v>
                </c:pt>
                <c:pt idx="198">
                  <c:v>57</c:v>
                </c:pt>
                <c:pt idx="199">
                  <c:v>44</c:v>
                </c:pt>
                <c:pt idx="200">
                  <c:v>44</c:v>
                </c:pt>
                <c:pt idx="201">
                  <c:v>45</c:v>
                </c:pt>
                <c:pt idx="202">
                  <c:v>43</c:v>
                </c:pt>
                <c:pt idx="203">
                  <c:v>33</c:v>
                </c:pt>
              </c:numCache>
            </c:numRef>
          </c:xVal>
          <c:yVal>
            <c:numRef>
              <c:f>'Solution b &amp; c'!$B$2:$B$205</c:f>
              <c:numCache>
                <c:formatCode>General</c:formatCode>
                <c:ptCount val="204"/>
                <c:pt idx="0">
                  <c:v>57700</c:v>
                </c:pt>
                <c:pt idx="1">
                  <c:v>76400</c:v>
                </c:pt>
                <c:pt idx="2">
                  <c:v>44000</c:v>
                </c:pt>
                <c:pt idx="3">
                  <c:v>41600</c:v>
                </c:pt>
                <c:pt idx="4">
                  <c:v>163900</c:v>
                </c:pt>
                <c:pt idx="5">
                  <c:v>72700</c:v>
                </c:pt>
                <c:pt idx="6">
                  <c:v>60300</c:v>
                </c:pt>
                <c:pt idx="7">
                  <c:v>63500</c:v>
                </c:pt>
                <c:pt idx="8">
                  <c:v>131200</c:v>
                </c:pt>
                <c:pt idx="9">
                  <c:v>39200</c:v>
                </c:pt>
                <c:pt idx="10">
                  <c:v>62900</c:v>
                </c:pt>
                <c:pt idx="11">
                  <c:v>26200</c:v>
                </c:pt>
                <c:pt idx="12">
                  <c:v>74500</c:v>
                </c:pt>
                <c:pt idx="13">
                  <c:v>64800</c:v>
                </c:pt>
                <c:pt idx="14">
                  <c:v>21600</c:v>
                </c:pt>
                <c:pt idx="15">
                  <c:v>81900</c:v>
                </c:pt>
                <c:pt idx="16">
                  <c:v>115400</c:v>
                </c:pt>
                <c:pt idx="17">
                  <c:v>57800</c:v>
                </c:pt>
                <c:pt idx="18">
                  <c:v>55800</c:v>
                </c:pt>
                <c:pt idx="19">
                  <c:v>76100</c:v>
                </c:pt>
                <c:pt idx="20">
                  <c:v>135700</c:v>
                </c:pt>
                <c:pt idx="21">
                  <c:v>140400</c:v>
                </c:pt>
                <c:pt idx="22">
                  <c:v>55400</c:v>
                </c:pt>
                <c:pt idx="23">
                  <c:v>49700</c:v>
                </c:pt>
                <c:pt idx="24">
                  <c:v>134800</c:v>
                </c:pt>
                <c:pt idx="25">
                  <c:v>76900</c:v>
                </c:pt>
                <c:pt idx="26">
                  <c:v>28700</c:v>
                </c:pt>
                <c:pt idx="27">
                  <c:v>58800</c:v>
                </c:pt>
                <c:pt idx="28">
                  <c:v>43100</c:v>
                </c:pt>
                <c:pt idx="29">
                  <c:v>82400</c:v>
                </c:pt>
                <c:pt idx="30">
                  <c:v>80100</c:v>
                </c:pt>
                <c:pt idx="31">
                  <c:v>27000</c:v>
                </c:pt>
                <c:pt idx="32">
                  <c:v>58800</c:v>
                </c:pt>
                <c:pt idx="33">
                  <c:v>133100</c:v>
                </c:pt>
                <c:pt idx="34">
                  <c:v>53700</c:v>
                </c:pt>
                <c:pt idx="35">
                  <c:v>26700</c:v>
                </c:pt>
                <c:pt idx="36">
                  <c:v>81300</c:v>
                </c:pt>
                <c:pt idx="37">
                  <c:v>55400</c:v>
                </c:pt>
                <c:pt idx="38">
                  <c:v>139900</c:v>
                </c:pt>
                <c:pt idx="39">
                  <c:v>33200</c:v>
                </c:pt>
                <c:pt idx="40">
                  <c:v>75000</c:v>
                </c:pt>
                <c:pt idx="41">
                  <c:v>128200</c:v>
                </c:pt>
                <c:pt idx="42">
                  <c:v>76800</c:v>
                </c:pt>
                <c:pt idx="43">
                  <c:v>54200</c:v>
                </c:pt>
                <c:pt idx="44">
                  <c:v>32600</c:v>
                </c:pt>
                <c:pt idx="45">
                  <c:v>59200</c:v>
                </c:pt>
                <c:pt idx="46">
                  <c:v>74800</c:v>
                </c:pt>
                <c:pt idx="47">
                  <c:v>45500</c:v>
                </c:pt>
                <c:pt idx="48">
                  <c:v>46500</c:v>
                </c:pt>
                <c:pt idx="49">
                  <c:v>136300</c:v>
                </c:pt>
                <c:pt idx="50">
                  <c:v>86900</c:v>
                </c:pt>
                <c:pt idx="51">
                  <c:v>23900</c:v>
                </c:pt>
                <c:pt idx="52">
                  <c:v>52700</c:v>
                </c:pt>
                <c:pt idx="53">
                  <c:v>92700</c:v>
                </c:pt>
                <c:pt idx="54">
                  <c:v>59500</c:v>
                </c:pt>
                <c:pt idx="55">
                  <c:v>69400</c:v>
                </c:pt>
                <c:pt idx="56">
                  <c:v>46600</c:v>
                </c:pt>
                <c:pt idx="57">
                  <c:v>61700</c:v>
                </c:pt>
                <c:pt idx="58">
                  <c:v>88200</c:v>
                </c:pt>
                <c:pt idx="59">
                  <c:v>45000</c:v>
                </c:pt>
                <c:pt idx="60">
                  <c:v>52200</c:v>
                </c:pt>
                <c:pt idx="61">
                  <c:v>61400</c:v>
                </c:pt>
                <c:pt idx="62">
                  <c:v>87500</c:v>
                </c:pt>
                <c:pt idx="63">
                  <c:v>103700</c:v>
                </c:pt>
                <c:pt idx="64">
                  <c:v>54000</c:v>
                </c:pt>
                <c:pt idx="65">
                  <c:v>125100</c:v>
                </c:pt>
                <c:pt idx="66">
                  <c:v>45900</c:v>
                </c:pt>
                <c:pt idx="67">
                  <c:v>79300</c:v>
                </c:pt>
                <c:pt idx="68">
                  <c:v>108600</c:v>
                </c:pt>
                <c:pt idx="69">
                  <c:v>68200</c:v>
                </c:pt>
                <c:pt idx="70">
                  <c:v>65200</c:v>
                </c:pt>
                <c:pt idx="71">
                  <c:v>95600</c:v>
                </c:pt>
                <c:pt idx="72">
                  <c:v>103100</c:v>
                </c:pt>
                <c:pt idx="73">
                  <c:v>143500</c:v>
                </c:pt>
                <c:pt idx="74">
                  <c:v>78200</c:v>
                </c:pt>
                <c:pt idx="75">
                  <c:v>40200</c:v>
                </c:pt>
                <c:pt idx="76">
                  <c:v>60500</c:v>
                </c:pt>
                <c:pt idx="77">
                  <c:v>40500</c:v>
                </c:pt>
                <c:pt idx="78">
                  <c:v>73800</c:v>
                </c:pt>
                <c:pt idx="79">
                  <c:v>45300</c:v>
                </c:pt>
                <c:pt idx="80">
                  <c:v>61400</c:v>
                </c:pt>
                <c:pt idx="81">
                  <c:v>64800</c:v>
                </c:pt>
                <c:pt idx="82">
                  <c:v>75600</c:v>
                </c:pt>
                <c:pt idx="83">
                  <c:v>95800</c:v>
                </c:pt>
                <c:pt idx="84">
                  <c:v>126700</c:v>
                </c:pt>
                <c:pt idx="85">
                  <c:v>67000</c:v>
                </c:pt>
                <c:pt idx="86">
                  <c:v>102600</c:v>
                </c:pt>
                <c:pt idx="87">
                  <c:v>52000</c:v>
                </c:pt>
                <c:pt idx="88">
                  <c:v>76000</c:v>
                </c:pt>
                <c:pt idx="89">
                  <c:v>83000</c:v>
                </c:pt>
                <c:pt idx="90">
                  <c:v>80800</c:v>
                </c:pt>
                <c:pt idx="91">
                  <c:v>91100</c:v>
                </c:pt>
                <c:pt idx="92">
                  <c:v>30100</c:v>
                </c:pt>
                <c:pt idx="93">
                  <c:v>55700</c:v>
                </c:pt>
                <c:pt idx="94">
                  <c:v>51400</c:v>
                </c:pt>
                <c:pt idx="95">
                  <c:v>43800</c:v>
                </c:pt>
                <c:pt idx="96">
                  <c:v>25000</c:v>
                </c:pt>
                <c:pt idx="97">
                  <c:v>80600</c:v>
                </c:pt>
                <c:pt idx="98">
                  <c:v>39600</c:v>
                </c:pt>
                <c:pt idx="99">
                  <c:v>13400</c:v>
                </c:pt>
                <c:pt idx="100">
                  <c:v>88200</c:v>
                </c:pt>
                <c:pt idx="101">
                  <c:v>109100</c:v>
                </c:pt>
                <c:pt idx="102">
                  <c:v>34200</c:v>
                </c:pt>
                <c:pt idx="103">
                  <c:v>57800</c:v>
                </c:pt>
                <c:pt idx="104">
                  <c:v>68100</c:v>
                </c:pt>
                <c:pt idx="105">
                  <c:v>94900</c:v>
                </c:pt>
                <c:pt idx="106">
                  <c:v>63200</c:v>
                </c:pt>
                <c:pt idx="107">
                  <c:v>82700</c:v>
                </c:pt>
                <c:pt idx="108">
                  <c:v>85600</c:v>
                </c:pt>
                <c:pt idx="109">
                  <c:v>27100</c:v>
                </c:pt>
                <c:pt idx="110">
                  <c:v>69800</c:v>
                </c:pt>
                <c:pt idx="111">
                  <c:v>81300</c:v>
                </c:pt>
                <c:pt idx="112">
                  <c:v>78400</c:v>
                </c:pt>
                <c:pt idx="113">
                  <c:v>127300</c:v>
                </c:pt>
                <c:pt idx="114">
                  <c:v>93700</c:v>
                </c:pt>
                <c:pt idx="115">
                  <c:v>74400</c:v>
                </c:pt>
                <c:pt idx="116">
                  <c:v>48300</c:v>
                </c:pt>
                <c:pt idx="117">
                  <c:v>98900</c:v>
                </c:pt>
                <c:pt idx="118">
                  <c:v>73300</c:v>
                </c:pt>
                <c:pt idx="119">
                  <c:v>117300</c:v>
                </c:pt>
                <c:pt idx="120">
                  <c:v>37800</c:v>
                </c:pt>
                <c:pt idx="121">
                  <c:v>77400</c:v>
                </c:pt>
                <c:pt idx="122">
                  <c:v>111200</c:v>
                </c:pt>
                <c:pt idx="123">
                  <c:v>75300</c:v>
                </c:pt>
                <c:pt idx="124">
                  <c:v>96900</c:v>
                </c:pt>
                <c:pt idx="125">
                  <c:v>123600</c:v>
                </c:pt>
                <c:pt idx="126">
                  <c:v>55200</c:v>
                </c:pt>
                <c:pt idx="127">
                  <c:v>12400</c:v>
                </c:pt>
                <c:pt idx="128">
                  <c:v>73900</c:v>
                </c:pt>
                <c:pt idx="129">
                  <c:v>94100</c:v>
                </c:pt>
                <c:pt idx="130">
                  <c:v>74300</c:v>
                </c:pt>
                <c:pt idx="131">
                  <c:v>66900</c:v>
                </c:pt>
                <c:pt idx="132">
                  <c:v>12500</c:v>
                </c:pt>
                <c:pt idx="133">
                  <c:v>90200</c:v>
                </c:pt>
                <c:pt idx="134">
                  <c:v>59000</c:v>
                </c:pt>
                <c:pt idx="135">
                  <c:v>114700</c:v>
                </c:pt>
                <c:pt idx="136">
                  <c:v>71700</c:v>
                </c:pt>
                <c:pt idx="137">
                  <c:v>125500</c:v>
                </c:pt>
                <c:pt idx="138">
                  <c:v>100200</c:v>
                </c:pt>
                <c:pt idx="139">
                  <c:v>45400</c:v>
                </c:pt>
                <c:pt idx="140">
                  <c:v>72200</c:v>
                </c:pt>
                <c:pt idx="141">
                  <c:v>69500</c:v>
                </c:pt>
                <c:pt idx="142">
                  <c:v>67900</c:v>
                </c:pt>
                <c:pt idx="143">
                  <c:v>67500</c:v>
                </c:pt>
                <c:pt idx="144">
                  <c:v>31800</c:v>
                </c:pt>
                <c:pt idx="145">
                  <c:v>27800</c:v>
                </c:pt>
                <c:pt idx="146">
                  <c:v>60200</c:v>
                </c:pt>
                <c:pt idx="147">
                  <c:v>34500</c:v>
                </c:pt>
                <c:pt idx="148">
                  <c:v>87000</c:v>
                </c:pt>
                <c:pt idx="149">
                  <c:v>12500</c:v>
                </c:pt>
                <c:pt idx="150">
                  <c:v>122700</c:v>
                </c:pt>
                <c:pt idx="151">
                  <c:v>56200</c:v>
                </c:pt>
                <c:pt idx="152">
                  <c:v>56900</c:v>
                </c:pt>
                <c:pt idx="153">
                  <c:v>66000</c:v>
                </c:pt>
                <c:pt idx="154">
                  <c:v>76000</c:v>
                </c:pt>
                <c:pt idx="155">
                  <c:v>44100</c:v>
                </c:pt>
                <c:pt idx="156">
                  <c:v>78500</c:v>
                </c:pt>
                <c:pt idx="157">
                  <c:v>71800</c:v>
                </c:pt>
                <c:pt idx="158">
                  <c:v>80700</c:v>
                </c:pt>
                <c:pt idx="159">
                  <c:v>47800</c:v>
                </c:pt>
                <c:pt idx="160">
                  <c:v>105000</c:v>
                </c:pt>
                <c:pt idx="161">
                  <c:v>100700</c:v>
                </c:pt>
                <c:pt idx="162">
                  <c:v>18300</c:v>
                </c:pt>
                <c:pt idx="163">
                  <c:v>110600</c:v>
                </c:pt>
                <c:pt idx="164">
                  <c:v>36800</c:v>
                </c:pt>
                <c:pt idx="165">
                  <c:v>45500</c:v>
                </c:pt>
                <c:pt idx="166">
                  <c:v>71400</c:v>
                </c:pt>
                <c:pt idx="167">
                  <c:v>74300</c:v>
                </c:pt>
                <c:pt idx="168">
                  <c:v>160600</c:v>
                </c:pt>
                <c:pt idx="169">
                  <c:v>52500</c:v>
                </c:pt>
                <c:pt idx="170">
                  <c:v>65000</c:v>
                </c:pt>
                <c:pt idx="171">
                  <c:v>104500</c:v>
                </c:pt>
                <c:pt idx="172">
                  <c:v>85000</c:v>
                </c:pt>
                <c:pt idx="173">
                  <c:v>110200</c:v>
                </c:pt>
                <c:pt idx="174">
                  <c:v>80100</c:v>
                </c:pt>
                <c:pt idx="175">
                  <c:v>40000</c:v>
                </c:pt>
                <c:pt idx="176">
                  <c:v>55900</c:v>
                </c:pt>
                <c:pt idx="177">
                  <c:v>64600</c:v>
                </c:pt>
                <c:pt idx="178">
                  <c:v>68600</c:v>
                </c:pt>
                <c:pt idx="179">
                  <c:v>65100</c:v>
                </c:pt>
                <c:pt idx="180">
                  <c:v>111700</c:v>
                </c:pt>
                <c:pt idx="181">
                  <c:v>62000</c:v>
                </c:pt>
                <c:pt idx="182">
                  <c:v>55800</c:v>
                </c:pt>
                <c:pt idx="183">
                  <c:v>54600</c:v>
                </c:pt>
                <c:pt idx="184">
                  <c:v>37600</c:v>
                </c:pt>
                <c:pt idx="185">
                  <c:v>41200</c:v>
                </c:pt>
                <c:pt idx="186">
                  <c:v>49900</c:v>
                </c:pt>
                <c:pt idx="187">
                  <c:v>59400</c:v>
                </c:pt>
                <c:pt idx="188">
                  <c:v>65500</c:v>
                </c:pt>
                <c:pt idx="189">
                  <c:v>73200</c:v>
                </c:pt>
                <c:pt idx="190">
                  <c:v>30500</c:v>
                </c:pt>
                <c:pt idx="191">
                  <c:v>84800</c:v>
                </c:pt>
                <c:pt idx="192">
                  <c:v>95200</c:v>
                </c:pt>
                <c:pt idx="193">
                  <c:v>84900</c:v>
                </c:pt>
                <c:pt idx="194">
                  <c:v>102600</c:v>
                </c:pt>
                <c:pt idx="195">
                  <c:v>59000</c:v>
                </c:pt>
                <c:pt idx="196">
                  <c:v>44800</c:v>
                </c:pt>
                <c:pt idx="197">
                  <c:v>70500</c:v>
                </c:pt>
                <c:pt idx="198">
                  <c:v>83700</c:v>
                </c:pt>
                <c:pt idx="199">
                  <c:v>100000</c:v>
                </c:pt>
                <c:pt idx="200">
                  <c:v>39300</c:v>
                </c:pt>
                <c:pt idx="201">
                  <c:v>20400</c:v>
                </c:pt>
                <c:pt idx="202">
                  <c:v>74300</c:v>
                </c:pt>
                <c:pt idx="203">
                  <c:v>114500</c:v>
                </c:pt>
              </c:numCache>
            </c:numRef>
          </c:yVal>
          <c:smooth val="0"/>
        </c:ser>
        <c:dLbls>
          <c:showLegendKey val="0"/>
          <c:showVal val="0"/>
          <c:showCatName val="0"/>
          <c:showSerName val="0"/>
          <c:showPercent val="0"/>
          <c:showBubbleSize val="0"/>
        </c:dLbls>
        <c:axId val="152865792"/>
        <c:axId val="152867968"/>
      </c:scatterChart>
      <c:valAx>
        <c:axId val="152865792"/>
        <c:scaling>
          <c:orientation val="minMax"/>
        </c:scaling>
        <c:delete val="0"/>
        <c:axPos val="b"/>
        <c:title>
          <c:tx>
            <c:rich>
              <a:bodyPr/>
              <a:lstStyle/>
              <a:p>
                <a:pPr>
                  <a:defRPr/>
                </a:pPr>
                <a:r>
                  <a:rPr lang="en-US"/>
                  <a:t>Age</a:t>
                </a:r>
              </a:p>
            </c:rich>
          </c:tx>
          <c:overlay val="0"/>
        </c:title>
        <c:numFmt formatCode="General" sourceLinked="1"/>
        <c:majorTickMark val="out"/>
        <c:minorTickMark val="none"/>
        <c:tickLblPos val="nextTo"/>
        <c:crossAx val="152867968"/>
        <c:crosses val="autoZero"/>
        <c:crossBetween val="midCat"/>
      </c:valAx>
      <c:valAx>
        <c:axId val="152867968"/>
        <c:scaling>
          <c:orientation val="minMax"/>
        </c:scaling>
        <c:delete val="0"/>
        <c:axPos val="l"/>
        <c:majorGridlines/>
        <c:title>
          <c:tx>
            <c:rich>
              <a:bodyPr rot="-5400000" vert="horz"/>
              <a:lstStyle/>
              <a:p>
                <a:pPr>
                  <a:defRPr/>
                </a:pPr>
                <a:r>
                  <a:rPr lang="en-US"/>
                  <a:t>Annual Salary</a:t>
                </a:r>
              </a:p>
            </c:rich>
          </c:tx>
          <c:overlay val="0"/>
        </c:title>
        <c:numFmt formatCode="General" sourceLinked="1"/>
        <c:majorTickMark val="out"/>
        <c:minorTickMark val="none"/>
        <c:tickLblPos val="nextTo"/>
        <c:crossAx val="152865792"/>
        <c:crosses val="autoZero"/>
        <c:crossBetween val="midCat"/>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Scatterplot of Annual Salary on Prior Experience</a:t>
            </a:r>
          </a:p>
        </c:rich>
      </c:tx>
      <c:overlay val="0"/>
    </c:title>
    <c:autoTitleDeleted val="0"/>
    <c:plotArea>
      <c:layout/>
      <c:scatterChart>
        <c:scatterStyle val="lineMarker"/>
        <c:varyColors val="0"/>
        <c:ser>
          <c:idx val="0"/>
          <c:order val="0"/>
          <c:tx>
            <c:strRef>
              <c:f>'Solution b &amp; c'!$I$1</c:f>
              <c:strCache>
                <c:ptCount val="1"/>
                <c:pt idx="0">
                  <c:v>Annual Salary</c:v>
                </c:pt>
              </c:strCache>
            </c:strRef>
          </c:tx>
          <c:spPr>
            <a:ln w="28575">
              <a:noFill/>
            </a:ln>
          </c:spPr>
          <c:xVal>
            <c:numRef>
              <c:f>'Solution b &amp; c'!$H$2:$H$205</c:f>
              <c:numCache>
                <c:formatCode>General</c:formatCode>
                <c:ptCount val="204"/>
                <c:pt idx="0">
                  <c:v>5</c:v>
                </c:pt>
                <c:pt idx="1">
                  <c:v>12</c:v>
                </c:pt>
                <c:pt idx="2">
                  <c:v>0</c:v>
                </c:pt>
                <c:pt idx="3">
                  <c:v>2</c:v>
                </c:pt>
                <c:pt idx="4">
                  <c:v>5</c:v>
                </c:pt>
                <c:pt idx="5">
                  <c:v>9</c:v>
                </c:pt>
                <c:pt idx="6">
                  <c:v>6</c:v>
                </c:pt>
                <c:pt idx="7">
                  <c:v>11</c:v>
                </c:pt>
                <c:pt idx="8">
                  <c:v>12</c:v>
                </c:pt>
                <c:pt idx="9">
                  <c:v>0</c:v>
                </c:pt>
                <c:pt idx="10">
                  <c:v>5</c:v>
                </c:pt>
                <c:pt idx="11">
                  <c:v>0</c:v>
                </c:pt>
                <c:pt idx="12">
                  <c:v>11</c:v>
                </c:pt>
                <c:pt idx="13">
                  <c:v>5</c:v>
                </c:pt>
                <c:pt idx="14">
                  <c:v>5</c:v>
                </c:pt>
                <c:pt idx="15">
                  <c:v>4</c:v>
                </c:pt>
                <c:pt idx="16">
                  <c:v>10</c:v>
                </c:pt>
                <c:pt idx="17">
                  <c:v>3</c:v>
                </c:pt>
                <c:pt idx="18">
                  <c:v>10</c:v>
                </c:pt>
                <c:pt idx="19">
                  <c:v>11</c:v>
                </c:pt>
                <c:pt idx="20">
                  <c:v>10</c:v>
                </c:pt>
                <c:pt idx="21">
                  <c:v>16</c:v>
                </c:pt>
                <c:pt idx="22">
                  <c:v>0</c:v>
                </c:pt>
                <c:pt idx="23">
                  <c:v>4</c:v>
                </c:pt>
                <c:pt idx="24">
                  <c:v>11</c:v>
                </c:pt>
                <c:pt idx="25">
                  <c:v>20</c:v>
                </c:pt>
                <c:pt idx="26">
                  <c:v>2</c:v>
                </c:pt>
                <c:pt idx="27">
                  <c:v>2</c:v>
                </c:pt>
                <c:pt idx="28">
                  <c:v>0</c:v>
                </c:pt>
                <c:pt idx="29">
                  <c:v>4</c:v>
                </c:pt>
                <c:pt idx="30">
                  <c:v>6</c:v>
                </c:pt>
                <c:pt idx="31">
                  <c:v>0</c:v>
                </c:pt>
                <c:pt idx="32">
                  <c:v>5</c:v>
                </c:pt>
                <c:pt idx="33">
                  <c:v>9</c:v>
                </c:pt>
                <c:pt idx="34">
                  <c:v>1</c:v>
                </c:pt>
                <c:pt idx="35">
                  <c:v>0</c:v>
                </c:pt>
                <c:pt idx="36">
                  <c:v>5</c:v>
                </c:pt>
                <c:pt idx="37">
                  <c:v>3</c:v>
                </c:pt>
                <c:pt idx="38">
                  <c:v>12</c:v>
                </c:pt>
                <c:pt idx="39">
                  <c:v>3</c:v>
                </c:pt>
                <c:pt idx="40">
                  <c:v>11</c:v>
                </c:pt>
                <c:pt idx="41">
                  <c:v>10</c:v>
                </c:pt>
                <c:pt idx="42">
                  <c:v>8</c:v>
                </c:pt>
                <c:pt idx="43">
                  <c:v>1</c:v>
                </c:pt>
                <c:pt idx="44">
                  <c:v>0</c:v>
                </c:pt>
                <c:pt idx="45">
                  <c:v>6</c:v>
                </c:pt>
                <c:pt idx="46">
                  <c:v>7</c:v>
                </c:pt>
                <c:pt idx="47">
                  <c:v>0</c:v>
                </c:pt>
                <c:pt idx="48">
                  <c:v>8</c:v>
                </c:pt>
                <c:pt idx="49">
                  <c:v>13</c:v>
                </c:pt>
                <c:pt idx="50">
                  <c:v>7</c:v>
                </c:pt>
                <c:pt idx="51">
                  <c:v>0</c:v>
                </c:pt>
                <c:pt idx="52">
                  <c:v>5</c:v>
                </c:pt>
                <c:pt idx="53">
                  <c:v>12</c:v>
                </c:pt>
                <c:pt idx="54">
                  <c:v>6</c:v>
                </c:pt>
                <c:pt idx="55">
                  <c:v>6</c:v>
                </c:pt>
                <c:pt idx="56">
                  <c:v>3</c:v>
                </c:pt>
                <c:pt idx="57">
                  <c:v>3</c:v>
                </c:pt>
                <c:pt idx="58">
                  <c:v>11</c:v>
                </c:pt>
                <c:pt idx="59">
                  <c:v>0</c:v>
                </c:pt>
                <c:pt idx="60">
                  <c:v>10</c:v>
                </c:pt>
                <c:pt idx="61">
                  <c:v>5</c:v>
                </c:pt>
                <c:pt idx="62">
                  <c:v>5</c:v>
                </c:pt>
                <c:pt idx="63">
                  <c:v>7</c:v>
                </c:pt>
                <c:pt idx="64">
                  <c:v>5</c:v>
                </c:pt>
                <c:pt idx="65">
                  <c:v>11</c:v>
                </c:pt>
                <c:pt idx="66">
                  <c:v>5</c:v>
                </c:pt>
                <c:pt idx="67">
                  <c:v>10</c:v>
                </c:pt>
                <c:pt idx="68">
                  <c:v>20</c:v>
                </c:pt>
                <c:pt idx="69">
                  <c:v>0</c:v>
                </c:pt>
                <c:pt idx="70">
                  <c:v>0</c:v>
                </c:pt>
                <c:pt idx="71">
                  <c:v>12</c:v>
                </c:pt>
                <c:pt idx="72">
                  <c:v>16</c:v>
                </c:pt>
                <c:pt idx="73">
                  <c:v>20</c:v>
                </c:pt>
                <c:pt idx="74">
                  <c:v>11</c:v>
                </c:pt>
                <c:pt idx="75">
                  <c:v>3</c:v>
                </c:pt>
                <c:pt idx="76">
                  <c:v>8</c:v>
                </c:pt>
                <c:pt idx="77">
                  <c:v>0</c:v>
                </c:pt>
                <c:pt idx="78">
                  <c:v>10</c:v>
                </c:pt>
                <c:pt idx="79">
                  <c:v>4</c:v>
                </c:pt>
                <c:pt idx="80">
                  <c:v>9</c:v>
                </c:pt>
                <c:pt idx="81">
                  <c:v>4</c:v>
                </c:pt>
                <c:pt idx="82">
                  <c:v>11</c:v>
                </c:pt>
                <c:pt idx="83">
                  <c:v>1</c:v>
                </c:pt>
                <c:pt idx="84">
                  <c:v>11</c:v>
                </c:pt>
                <c:pt idx="85">
                  <c:v>10</c:v>
                </c:pt>
                <c:pt idx="86">
                  <c:v>16</c:v>
                </c:pt>
                <c:pt idx="87">
                  <c:v>4</c:v>
                </c:pt>
                <c:pt idx="88">
                  <c:v>9</c:v>
                </c:pt>
                <c:pt idx="89">
                  <c:v>0</c:v>
                </c:pt>
                <c:pt idx="90">
                  <c:v>8</c:v>
                </c:pt>
                <c:pt idx="91">
                  <c:v>10</c:v>
                </c:pt>
                <c:pt idx="92">
                  <c:v>3</c:v>
                </c:pt>
                <c:pt idx="93">
                  <c:v>5</c:v>
                </c:pt>
                <c:pt idx="94">
                  <c:v>0</c:v>
                </c:pt>
                <c:pt idx="95">
                  <c:v>3</c:v>
                </c:pt>
                <c:pt idx="96">
                  <c:v>0</c:v>
                </c:pt>
                <c:pt idx="97">
                  <c:v>10</c:v>
                </c:pt>
                <c:pt idx="98">
                  <c:v>8</c:v>
                </c:pt>
                <c:pt idx="99">
                  <c:v>0</c:v>
                </c:pt>
                <c:pt idx="100">
                  <c:v>6</c:v>
                </c:pt>
                <c:pt idx="101">
                  <c:v>9</c:v>
                </c:pt>
                <c:pt idx="102">
                  <c:v>3</c:v>
                </c:pt>
                <c:pt idx="103">
                  <c:v>4</c:v>
                </c:pt>
                <c:pt idx="104">
                  <c:v>6</c:v>
                </c:pt>
                <c:pt idx="105">
                  <c:v>6</c:v>
                </c:pt>
                <c:pt idx="106">
                  <c:v>5</c:v>
                </c:pt>
                <c:pt idx="107">
                  <c:v>6</c:v>
                </c:pt>
                <c:pt idx="108">
                  <c:v>7</c:v>
                </c:pt>
                <c:pt idx="109">
                  <c:v>2</c:v>
                </c:pt>
                <c:pt idx="110">
                  <c:v>10</c:v>
                </c:pt>
                <c:pt idx="111">
                  <c:v>13</c:v>
                </c:pt>
                <c:pt idx="112">
                  <c:v>11</c:v>
                </c:pt>
                <c:pt idx="113">
                  <c:v>20</c:v>
                </c:pt>
                <c:pt idx="114">
                  <c:v>0</c:v>
                </c:pt>
                <c:pt idx="115">
                  <c:v>5</c:v>
                </c:pt>
                <c:pt idx="116">
                  <c:v>3</c:v>
                </c:pt>
                <c:pt idx="117">
                  <c:v>10</c:v>
                </c:pt>
                <c:pt idx="118">
                  <c:v>0</c:v>
                </c:pt>
                <c:pt idx="119">
                  <c:v>11</c:v>
                </c:pt>
                <c:pt idx="120">
                  <c:v>5</c:v>
                </c:pt>
                <c:pt idx="121">
                  <c:v>6</c:v>
                </c:pt>
                <c:pt idx="122">
                  <c:v>11</c:v>
                </c:pt>
                <c:pt idx="123">
                  <c:v>11</c:v>
                </c:pt>
                <c:pt idx="124">
                  <c:v>7</c:v>
                </c:pt>
                <c:pt idx="125">
                  <c:v>10</c:v>
                </c:pt>
                <c:pt idx="126">
                  <c:v>6</c:v>
                </c:pt>
                <c:pt idx="127">
                  <c:v>0</c:v>
                </c:pt>
                <c:pt idx="128">
                  <c:v>4</c:v>
                </c:pt>
                <c:pt idx="129">
                  <c:v>20</c:v>
                </c:pt>
                <c:pt idx="130">
                  <c:v>10</c:v>
                </c:pt>
                <c:pt idx="131">
                  <c:v>11</c:v>
                </c:pt>
                <c:pt idx="132">
                  <c:v>0</c:v>
                </c:pt>
                <c:pt idx="133">
                  <c:v>0</c:v>
                </c:pt>
                <c:pt idx="134">
                  <c:v>5</c:v>
                </c:pt>
                <c:pt idx="135">
                  <c:v>10</c:v>
                </c:pt>
                <c:pt idx="136">
                  <c:v>7</c:v>
                </c:pt>
                <c:pt idx="137">
                  <c:v>20</c:v>
                </c:pt>
                <c:pt idx="138">
                  <c:v>11</c:v>
                </c:pt>
                <c:pt idx="139">
                  <c:v>0</c:v>
                </c:pt>
                <c:pt idx="140">
                  <c:v>10</c:v>
                </c:pt>
                <c:pt idx="141">
                  <c:v>5</c:v>
                </c:pt>
                <c:pt idx="142">
                  <c:v>11</c:v>
                </c:pt>
                <c:pt idx="143">
                  <c:v>2</c:v>
                </c:pt>
                <c:pt idx="144">
                  <c:v>2</c:v>
                </c:pt>
                <c:pt idx="145">
                  <c:v>0</c:v>
                </c:pt>
                <c:pt idx="146">
                  <c:v>5</c:v>
                </c:pt>
                <c:pt idx="147">
                  <c:v>2</c:v>
                </c:pt>
                <c:pt idx="148">
                  <c:v>7</c:v>
                </c:pt>
                <c:pt idx="149">
                  <c:v>0</c:v>
                </c:pt>
                <c:pt idx="150">
                  <c:v>0</c:v>
                </c:pt>
                <c:pt idx="151">
                  <c:v>5</c:v>
                </c:pt>
                <c:pt idx="152">
                  <c:v>10</c:v>
                </c:pt>
                <c:pt idx="153">
                  <c:v>4</c:v>
                </c:pt>
                <c:pt idx="154">
                  <c:v>11</c:v>
                </c:pt>
                <c:pt idx="155">
                  <c:v>0</c:v>
                </c:pt>
                <c:pt idx="156">
                  <c:v>0</c:v>
                </c:pt>
                <c:pt idx="157">
                  <c:v>5</c:v>
                </c:pt>
                <c:pt idx="158">
                  <c:v>9</c:v>
                </c:pt>
                <c:pt idx="159">
                  <c:v>2</c:v>
                </c:pt>
                <c:pt idx="160">
                  <c:v>13</c:v>
                </c:pt>
                <c:pt idx="161">
                  <c:v>6</c:v>
                </c:pt>
                <c:pt idx="162">
                  <c:v>2</c:v>
                </c:pt>
                <c:pt idx="163">
                  <c:v>12</c:v>
                </c:pt>
                <c:pt idx="164">
                  <c:v>0</c:v>
                </c:pt>
                <c:pt idx="165">
                  <c:v>0</c:v>
                </c:pt>
                <c:pt idx="166">
                  <c:v>0</c:v>
                </c:pt>
                <c:pt idx="167">
                  <c:v>5</c:v>
                </c:pt>
                <c:pt idx="168">
                  <c:v>16</c:v>
                </c:pt>
                <c:pt idx="169">
                  <c:v>0</c:v>
                </c:pt>
                <c:pt idx="170">
                  <c:v>5</c:v>
                </c:pt>
                <c:pt idx="171">
                  <c:v>12</c:v>
                </c:pt>
                <c:pt idx="172">
                  <c:v>5</c:v>
                </c:pt>
                <c:pt idx="173">
                  <c:v>3</c:v>
                </c:pt>
                <c:pt idx="174">
                  <c:v>10</c:v>
                </c:pt>
                <c:pt idx="175">
                  <c:v>3</c:v>
                </c:pt>
                <c:pt idx="176">
                  <c:v>10</c:v>
                </c:pt>
                <c:pt idx="177">
                  <c:v>0</c:v>
                </c:pt>
                <c:pt idx="178">
                  <c:v>0</c:v>
                </c:pt>
                <c:pt idx="179">
                  <c:v>7</c:v>
                </c:pt>
                <c:pt idx="180">
                  <c:v>13</c:v>
                </c:pt>
                <c:pt idx="181">
                  <c:v>12</c:v>
                </c:pt>
                <c:pt idx="182">
                  <c:v>2</c:v>
                </c:pt>
                <c:pt idx="183">
                  <c:v>5</c:v>
                </c:pt>
                <c:pt idx="184">
                  <c:v>1</c:v>
                </c:pt>
                <c:pt idx="185">
                  <c:v>0</c:v>
                </c:pt>
                <c:pt idx="186">
                  <c:v>0</c:v>
                </c:pt>
                <c:pt idx="187">
                  <c:v>4</c:v>
                </c:pt>
                <c:pt idx="188">
                  <c:v>3</c:v>
                </c:pt>
                <c:pt idx="189">
                  <c:v>10</c:v>
                </c:pt>
                <c:pt idx="190">
                  <c:v>0</c:v>
                </c:pt>
                <c:pt idx="191">
                  <c:v>6</c:v>
                </c:pt>
                <c:pt idx="192">
                  <c:v>16</c:v>
                </c:pt>
                <c:pt idx="193">
                  <c:v>11</c:v>
                </c:pt>
                <c:pt idx="194">
                  <c:v>11</c:v>
                </c:pt>
                <c:pt idx="195">
                  <c:v>11</c:v>
                </c:pt>
                <c:pt idx="196">
                  <c:v>0</c:v>
                </c:pt>
                <c:pt idx="197">
                  <c:v>11</c:v>
                </c:pt>
                <c:pt idx="198">
                  <c:v>10</c:v>
                </c:pt>
                <c:pt idx="199">
                  <c:v>10</c:v>
                </c:pt>
                <c:pt idx="200">
                  <c:v>2</c:v>
                </c:pt>
                <c:pt idx="201">
                  <c:v>0</c:v>
                </c:pt>
                <c:pt idx="202">
                  <c:v>0</c:v>
                </c:pt>
                <c:pt idx="203">
                  <c:v>11</c:v>
                </c:pt>
              </c:numCache>
            </c:numRef>
          </c:xVal>
          <c:yVal>
            <c:numRef>
              <c:f>'Solution b &amp; c'!$I$2:$I$205</c:f>
              <c:numCache>
                <c:formatCode>General</c:formatCode>
                <c:ptCount val="204"/>
                <c:pt idx="0">
                  <c:v>57700</c:v>
                </c:pt>
                <c:pt idx="1">
                  <c:v>76400</c:v>
                </c:pt>
                <c:pt idx="2">
                  <c:v>44000</c:v>
                </c:pt>
                <c:pt idx="3">
                  <c:v>41600</c:v>
                </c:pt>
                <c:pt idx="4">
                  <c:v>163900</c:v>
                </c:pt>
                <c:pt idx="5">
                  <c:v>72700</c:v>
                </c:pt>
                <c:pt idx="6">
                  <c:v>60300</c:v>
                </c:pt>
                <c:pt idx="7">
                  <c:v>63500</c:v>
                </c:pt>
                <c:pt idx="8">
                  <c:v>131200</c:v>
                </c:pt>
                <c:pt idx="9">
                  <c:v>39200</c:v>
                </c:pt>
                <c:pt idx="10">
                  <c:v>62900</c:v>
                </c:pt>
                <c:pt idx="11">
                  <c:v>26200</c:v>
                </c:pt>
                <c:pt idx="12">
                  <c:v>74500</c:v>
                </c:pt>
                <c:pt idx="13">
                  <c:v>64800</c:v>
                </c:pt>
                <c:pt idx="14">
                  <c:v>21600</c:v>
                </c:pt>
                <c:pt idx="15">
                  <c:v>81900</c:v>
                </c:pt>
                <c:pt idx="16">
                  <c:v>115400</c:v>
                </c:pt>
                <c:pt idx="17">
                  <c:v>57800</c:v>
                </c:pt>
                <c:pt idx="18">
                  <c:v>55800</c:v>
                </c:pt>
                <c:pt idx="19">
                  <c:v>76100</c:v>
                </c:pt>
                <c:pt idx="20">
                  <c:v>135700</c:v>
                </c:pt>
                <c:pt idx="21">
                  <c:v>140400</c:v>
                </c:pt>
                <c:pt idx="22">
                  <c:v>55400</c:v>
                </c:pt>
                <c:pt idx="23">
                  <c:v>49700</c:v>
                </c:pt>
                <c:pt idx="24">
                  <c:v>134800</c:v>
                </c:pt>
                <c:pt idx="25">
                  <c:v>76900</c:v>
                </c:pt>
                <c:pt idx="26">
                  <c:v>28700</c:v>
                </c:pt>
                <c:pt idx="27">
                  <c:v>58800</c:v>
                </c:pt>
                <c:pt idx="28">
                  <c:v>43100</c:v>
                </c:pt>
                <c:pt idx="29">
                  <c:v>82400</c:v>
                </c:pt>
                <c:pt idx="30">
                  <c:v>80100</c:v>
                </c:pt>
                <c:pt idx="31">
                  <c:v>27000</c:v>
                </c:pt>
                <c:pt idx="32">
                  <c:v>58800</c:v>
                </c:pt>
                <c:pt idx="33">
                  <c:v>133100</c:v>
                </c:pt>
                <c:pt idx="34">
                  <c:v>53700</c:v>
                </c:pt>
                <c:pt idx="35">
                  <c:v>26700</c:v>
                </c:pt>
                <c:pt idx="36">
                  <c:v>81300</c:v>
                </c:pt>
                <c:pt idx="37">
                  <c:v>55400</c:v>
                </c:pt>
                <c:pt idx="38">
                  <c:v>139900</c:v>
                </c:pt>
                <c:pt idx="39">
                  <c:v>33200</c:v>
                </c:pt>
                <c:pt idx="40">
                  <c:v>75000</c:v>
                </c:pt>
                <c:pt idx="41">
                  <c:v>128200</c:v>
                </c:pt>
                <c:pt idx="42">
                  <c:v>76800</c:v>
                </c:pt>
                <c:pt idx="43">
                  <c:v>54200</c:v>
                </c:pt>
                <c:pt idx="44">
                  <c:v>32600</c:v>
                </c:pt>
                <c:pt idx="45">
                  <c:v>59200</c:v>
                </c:pt>
                <c:pt idx="46">
                  <c:v>74800</c:v>
                </c:pt>
                <c:pt idx="47">
                  <c:v>45500</c:v>
                </c:pt>
                <c:pt idx="48">
                  <c:v>46500</c:v>
                </c:pt>
                <c:pt idx="49">
                  <c:v>136300</c:v>
                </c:pt>
                <c:pt idx="50">
                  <c:v>86900</c:v>
                </c:pt>
                <c:pt idx="51">
                  <c:v>23900</c:v>
                </c:pt>
                <c:pt idx="52">
                  <c:v>52700</c:v>
                </c:pt>
                <c:pt idx="53">
                  <c:v>92700</c:v>
                </c:pt>
                <c:pt idx="54">
                  <c:v>59500</c:v>
                </c:pt>
                <c:pt idx="55">
                  <c:v>69400</c:v>
                </c:pt>
                <c:pt idx="56">
                  <c:v>46600</c:v>
                </c:pt>
                <c:pt idx="57">
                  <c:v>61700</c:v>
                </c:pt>
                <c:pt idx="58">
                  <c:v>88200</c:v>
                </c:pt>
                <c:pt idx="59">
                  <c:v>45000</c:v>
                </c:pt>
                <c:pt idx="60">
                  <c:v>52200</c:v>
                </c:pt>
                <c:pt idx="61">
                  <c:v>61400</c:v>
                </c:pt>
                <c:pt idx="62">
                  <c:v>87500</c:v>
                </c:pt>
                <c:pt idx="63">
                  <c:v>103700</c:v>
                </c:pt>
                <c:pt idx="64">
                  <c:v>54000</c:v>
                </c:pt>
                <c:pt idx="65">
                  <c:v>125100</c:v>
                </c:pt>
                <c:pt idx="66">
                  <c:v>45900</c:v>
                </c:pt>
                <c:pt idx="67">
                  <c:v>79300</c:v>
                </c:pt>
                <c:pt idx="68">
                  <c:v>108600</c:v>
                </c:pt>
                <c:pt idx="69">
                  <c:v>68200</c:v>
                </c:pt>
                <c:pt idx="70">
                  <c:v>65200</c:v>
                </c:pt>
                <c:pt idx="71">
                  <c:v>95600</c:v>
                </c:pt>
                <c:pt idx="72">
                  <c:v>103100</c:v>
                </c:pt>
                <c:pt idx="73">
                  <c:v>143500</c:v>
                </c:pt>
                <c:pt idx="74">
                  <c:v>78200</c:v>
                </c:pt>
                <c:pt idx="75">
                  <c:v>40200</c:v>
                </c:pt>
                <c:pt idx="76">
                  <c:v>60500</c:v>
                </c:pt>
                <c:pt idx="77">
                  <c:v>40500</c:v>
                </c:pt>
                <c:pt idx="78">
                  <c:v>73800</c:v>
                </c:pt>
                <c:pt idx="79">
                  <c:v>45300</c:v>
                </c:pt>
                <c:pt idx="80">
                  <c:v>61400</c:v>
                </c:pt>
                <c:pt idx="81">
                  <c:v>64800</c:v>
                </c:pt>
                <c:pt idx="82">
                  <c:v>75600</c:v>
                </c:pt>
                <c:pt idx="83">
                  <c:v>95800</c:v>
                </c:pt>
                <c:pt idx="84">
                  <c:v>126700</c:v>
                </c:pt>
                <c:pt idx="85">
                  <c:v>67000</c:v>
                </c:pt>
                <c:pt idx="86">
                  <c:v>102600</c:v>
                </c:pt>
                <c:pt idx="87">
                  <c:v>52000</c:v>
                </c:pt>
                <c:pt idx="88">
                  <c:v>76000</c:v>
                </c:pt>
                <c:pt idx="89">
                  <c:v>83000</c:v>
                </c:pt>
                <c:pt idx="90">
                  <c:v>80800</c:v>
                </c:pt>
                <c:pt idx="91">
                  <c:v>91100</c:v>
                </c:pt>
                <c:pt idx="92">
                  <c:v>30100</c:v>
                </c:pt>
                <c:pt idx="93">
                  <c:v>55700</c:v>
                </c:pt>
                <c:pt idx="94">
                  <c:v>51400</c:v>
                </c:pt>
                <c:pt idx="95">
                  <c:v>43800</c:v>
                </c:pt>
                <c:pt idx="96">
                  <c:v>25000</c:v>
                </c:pt>
                <c:pt idx="97">
                  <c:v>80600</c:v>
                </c:pt>
                <c:pt idx="98">
                  <c:v>39600</c:v>
                </c:pt>
                <c:pt idx="99">
                  <c:v>13400</c:v>
                </c:pt>
                <c:pt idx="100">
                  <c:v>88200</c:v>
                </c:pt>
                <c:pt idx="101">
                  <c:v>109100</c:v>
                </c:pt>
                <c:pt idx="102">
                  <c:v>34200</c:v>
                </c:pt>
                <c:pt idx="103">
                  <c:v>57800</c:v>
                </c:pt>
                <c:pt idx="104">
                  <c:v>68100</c:v>
                </c:pt>
                <c:pt idx="105">
                  <c:v>94900</c:v>
                </c:pt>
                <c:pt idx="106">
                  <c:v>63200</c:v>
                </c:pt>
                <c:pt idx="107">
                  <c:v>82700</c:v>
                </c:pt>
                <c:pt idx="108">
                  <c:v>85600</c:v>
                </c:pt>
                <c:pt idx="109">
                  <c:v>27100</c:v>
                </c:pt>
                <c:pt idx="110">
                  <c:v>69800</c:v>
                </c:pt>
                <c:pt idx="111">
                  <c:v>81300</c:v>
                </c:pt>
                <c:pt idx="112">
                  <c:v>78400</c:v>
                </c:pt>
                <c:pt idx="113">
                  <c:v>127300</c:v>
                </c:pt>
                <c:pt idx="114">
                  <c:v>93700</c:v>
                </c:pt>
                <c:pt idx="115">
                  <c:v>74400</c:v>
                </c:pt>
                <c:pt idx="116">
                  <c:v>48300</c:v>
                </c:pt>
                <c:pt idx="117">
                  <c:v>98900</c:v>
                </c:pt>
                <c:pt idx="118">
                  <c:v>73300</c:v>
                </c:pt>
                <c:pt idx="119">
                  <c:v>117300</c:v>
                </c:pt>
                <c:pt idx="120">
                  <c:v>37800</c:v>
                </c:pt>
                <c:pt idx="121">
                  <c:v>77400</c:v>
                </c:pt>
                <c:pt idx="122">
                  <c:v>111200</c:v>
                </c:pt>
                <c:pt idx="123">
                  <c:v>75300</c:v>
                </c:pt>
                <c:pt idx="124">
                  <c:v>96900</c:v>
                </c:pt>
                <c:pt idx="125">
                  <c:v>123600</c:v>
                </c:pt>
                <c:pt idx="126">
                  <c:v>55200</c:v>
                </c:pt>
                <c:pt idx="127">
                  <c:v>12400</c:v>
                </c:pt>
                <c:pt idx="128">
                  <c:v>73900</c:v>
                </c:pt>
                <c:pt idx="129">
                  <c:v>94100</c:v>
                </c:pt>
                <c:pt idx="130">
                  <c:v>74300</c:v>
                </c:pt>
                <c:pt idx="131">
                  <c:v>66900</c:v>
                </c:pt>
                <c:pt idx="132">
                  <c:v>12500</c:v>
                </c:pt>
                <c:pt idx="133">
                  <c:v>90200</c:v>
                </c:pt>
                <c:pt idx="134">
                  <c:v>59000</c:v>
                </c:pt>
                <c:pt idx="135">
                  <c:v>114700</c:v>
                </c:pt>
                <c:pt idx="136">
                  <c:v>71700</c:v>
                </c:pt>
                <c:pt idx="137">
                  <c:v>125500</c:v>
                </c:pt>
                <c:pt idx="138">
                  <c:v>100200</c:v>
                </c:pt>
                <c:pt idx="139">
                  <c:v>45400</c:v>
                </c:pt>
                <c:pt idx="140">
                  <c:v>72200</c:v>
                </c:pt>
                <c:pt idx="141">
                  <c:v>69500</c:v>
                </c:pt>
                <c:pt idx="142">
                  <c:v>67900</c:v>
                </c:pt>
                <c:pt idx="143">
                  <c:v>67500</c:v>
                </c:pt>
                <c:pt idx="144">
                  <c:v>31800</c:v>
                </c:pt>
                <c:pt idx="145">
                  <c:v>27800</c:v>
                </c:pt>
                <c:pt idx="146">
                  <c:v>60200</c:v>
                </c:pt>
                <c:pt idx="147">
                  <c:v>34500</c:v>
                </c:pt>
                <c:pt idx="148">
                  <c:v>87000</c:v>
                </c:pt>
                <c:pt idx="149">
                  <c:v>12500</c:v>
                </c:pt>
                <c:pt idx="150">
                  <c:v>122700</c:v>
                </c:pt>
                <c:pt idx="151">
                  <c:v>56200</c:v>
                </c:pt>
                <c:pt idx="152">
                  <c:v>56900</c:v>
                </c:pt>
                <c:pt idx="153">
                  <c:v>66000</c:v>
                </c:pt>
                <c:pt idx="154">
                  <c:v>76000</c:v>
                </c:pt>
                <c:pt idx="155">
                  <c:v>44100</c:v>
                </c:pt>
                <c:pt idx="156">
                  <c:v>78500</c:v>
                </c:pt>
                <c:pt idx="157">
                  <c:v>71800</c:v>
                </c:pt>
                <c:pt idx="158">
                  <c:v>80700</c:v>
                </c:pt>
                <c:pt idx="159">
                  <c:v>47800</c:v>
                </c:pt>
                <c:pt idx="160">
                  <c:v>105000</c:v>
                </c:pt>
                <c:pt idx="161">
                  <c:v>100700</c:v>
                </c:pt>
                <c:pt idx="162">
                  <c:v>18300</c:v>
                </c:pt>
                <c:pt idx="163">
                  <c:v>110600</c:v>
                </c:pt>
                <c:pt idx="164">
                  <c:v>36800</c:v>
                </c:pt>
                <c:pt idx="165">
                  <c:v>45500</c:v>
                </c:pt>
                <c:pt idx="166">
                  <c:v>71400</c:v>
                </c:pt>
                <c:pt idx="167">
                  <c:v>74300</c:v>
                </c:pt>
                <c:pt idx="168">
                  <c:v>160600</c:v>
                </c:pt>
                <c:pt idx="169">
                  <c:v>52500</c:v>
                </c:pt>
                <c:pt idx="170">
                  <c:v>65000</c:v>
                </c:pt>
                <c:pt idx="171">
                  <c:v>104500</c:v>
                </c:pt>
                <c:pt idx="172">
                  <c:v>85000</c:v>
                </c:pt>
                <c:pt idx="173">
                  <c:v>110200</c:v>
                </c:pt>
                <c:pt idx="174">
                  <c:v>80100</c:v>
                </c:pt>
                <c:pt idx="175">
                  <c:v>40000</c:v>
                </c:pt>
                <c:pt idx="176">
                  <c:v>55900</c:v>
                </c:pt>
                <c:pt idx="177">
                  <c:v>64600</c:v>
                </c:pt>
                <c:pt idx="178">
                  <c:v>68600</c:v>
                </c:pt>
                <c:pt idx="179">
                  <c:v>65100</c:v>
                </c:pt>
                <c:pt idx="180">
                  <c:v>111700</c:v>
                </c:pt>
                <c:pt idx="181">
                  <c:v>62000</c:v>
                </c:pt>
                <c:pt idx="182">
                  <c:v>55800</c:v>
                </c:pt>
                <c:pt idx="183">
                  <c:v>54600</c:v>
                </c:pt>
                <c:pt idx="184">
                  <c:v>37600</c:v>
                </c:pt>
                <c:pt idx="185">
                  <c:v>41200</c:v>
                </c:pt>
                <c:pt idx="186">
                  <c:v>49900</c:v>
                </c:pt>
                <c:pt idx="187">
                  <c:v>59400</c:v>
                </c:pt>
                <c:pt idx="188">
                  <c:v>65500</c:v>
                </c:pt>
                <c:pt idx="189">
                  <c:v>73200</c:v>
                </c:pt>
                <c:pt idx="190">
                  <c:v>30500</c:v>
                </c:pt>
                <c:pt idx="191">
                  <c:v>84800</c:v>
                </c:pt>
                <c:pt idx="192">
                  <c:v>95200</c:v>
                </c:pt>
                <c:pt idx="193">
                  <c:v>84900</c:v>
                </c:pt>
                <c:pt idx="194">
                  <c:v>102600</c:v>
                </c:pt>
                <c:pt idx="195">
                  <c:v>59000</c:v>
                </c:pt>
                <c:pt idx="196">
                  <c:v>44800</c:v>
                </c:pt>
                <c:pt idx="197">
                  <c:v>70500</c:v>
                </c:pt>
                <c:pt idx="198">
                  <c:v>83700</c:v>
                </c:pt>
                <c:pt idx="199">
                  <c:v>100000</c:v>
                </c:pt>
                <c:pt idx="200">
                  <c:v>39300</c:v>
                </c:pt>
                <c:pt idx="201">
                  <c:v>20400</c:v>
                </c:pt>
                <c:pt idx="202">
                  <c:v>74300</c:v>
                </c:pt>
                <c:pt idx="203">
                  <c:v>114500</c:v>
                </c:pt>
              </c:numCache>
            </c:numRef>
          </c:yVal>
          <c:smooth val="0"/>
        </c:ser>
        <c:dLbls>
          <c:showLegendKey val="0"/>
          <c:showVal val="0"/>
          <c:showCatName val="0"/>
          <c:showSerName val="0"/>
          <c:showPercent val="0"/>
          <c:showBubbleSize val="0"/>
        </c:dLbls>
        <c:axId val="152880256"/>
        <c:axId val="152882176"/>
      </c:scatterChart>
      <c:valAx>
        <c:axId val="152880256"/>
        <c:scaling>
          <c:orientation val="minMax"/>
        </c:scaling>
        <c:delete val="0"/>
        <c:axPos val="b"/>
        <c:title>
          <c:tx>
            <c:rich>
              <a:bodyPr/>
              <a:lstStyle/>
              <a:p>
                <a:pPr>
                  <a:defRPr/>
                </a:pPr>
                <a:r>
                  <a:rPr lang="en-US"/>
                  <a:t>Prior Experience</a:t>
                </a:r>
              </a:p>
            </c:rich>
          </c:tx>
          <c:overlay val="0"/>
        </c:title>
        <c:numFmt formatCode="General" sourceLinked="1"/>
        <c:majorTickMark val="out"/>
        <c:minorTickMark val="none"/>
        <c:tickLblPos val="nextTo"/>
        <c:crossAx val="152882176"/>
        <c:crosses val="autoZero"/>
        <c:crossBetween val="midCat"/>
      </c:valAx>
      <c:valAx>
        <c:axId val="152882176"/>
        <c:scaling>
          <c:orientation val="minMax"/>
        </c:scaling>
        <c:delete val="0"/>
        <c:axPos val="l"/>
        <c:majorGridlines/>
        <c:title>
          <c:tx>
            <c:rich>
              <a:bodyPr rot="-5400000" vert="horz"/>
              <a:lstStyle/>
              <a:p>
                <a:pPr>
                  <a:defRPr/>
                </a:pPr>
                <a:r>
                  <a:rPr lang="en-US"/>
                  <a:t>Annual Salary</a:t>
                </a:r>
              </a:p>
            </c:rich>
          </c:tx>
          <c:overlay val="0"/>
        </c:title>
        <c:numFmt formatCode="General" sourceLinked="1"/>
        <c:majorTickMark val="out"/>
        <c:minorTickMark val="none"/>
        <c:tickLblPos val="nextTo"/>
        <c:crossAx val="152880256"/>
        <c:crosses val="autoZero"/>
        <c:crossBetween val="midCat"/>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Scatterplot of Annual Salary on Beta Experience</a:t>
            </a:r>
          </a:p>
        </c:rich>
      </c:tx>
      <c:overlay val="0"/>
    </c:title>
    <c:autoTitleDeleted val="0"/>
    <c:plotArea>
      <c:layout/>
      <c:scatterChart>
        <c:scatterStyle val="lineMarker"/>
        <c:varyColors val="0"/>
        <c:ser>
          <c:idx val="0"/>
          <c:order val="0"/>
          <c:tx>
            <c:strRef>
              <c:f>'Solution b &amp; c'!$P$1</c:f>
              <c:strCache>
                <c:ptCount val="1"/>
                <c:pt idx="0">
                  <c:v>Annual Salary</c:v>
                </c:pt>
              </c:strCache>
            </c:strRef>
          </c:tx>
          <c:spPr>
            <a:ln w="28575">
              <a:noFill/>
            </a:ln>
          </c:spPr>
          <c:trendline>
            <c:trendlineType val="linear"/>
            <c:dispRSqr val="0"/>
            <c:dispEq val="0"/>
          </c:trendline>
          <c:trendline>
            <c:trendlineType val="linear"/>
            <c:dispRSqr val="1"/>
            <c:dispEq val="1"/>
            <c:trendlineLbl>
              <c:layout>
                <c:manualLayout>
                  <c:x val="0.14232830271216099"/>
                  <c:y val="0.2340981335666375"/>
                </c:manualLayout>
              </c:layout>
              <c:numFmt formatCode="General" sourceLinked="0"/>
            </c:trendlineLbl>
          </c:trendline>
          <c:xVal>
            <c:numRef>
              <c:f>'Solution b &amp; c'!$O$2:$O$205</c:f>
              <c:numCache>
                <c:formatCode>General</c:formatCode>
                <c:ptCount val="204"/>
                <c:pt idx="0">
                  <c:v>12</c:v>
                </c:pt>
                <c:pt idx="1">
                  <c:v>8</c:v>
                </c:pt>
                <c:pt idx="2">
                  <c:v>2</c:v>
                </c:pt>
                <c:pt idx="3">
                  <c:v>1</c:v>
                </c:pt>
                <c:pt idx="4">
                  <c:v>25</c:v>
                </c:pt>
                <c:pt idx="5">
                  <c:v>10</c:v>
                </c:pt>
                <c:pt idx="6">
                  <c:v>2</c:v>
                </c:pt>
                <c:pt idx="7">
                  <c:v>6</c:v>
                </c:pt>
                <c:pt idx="8">
                  <c:v>16</c:v>
                </c:pt>
                <c:pt idx="9">
                  <c:v>1</c:v>
                </c:pt>
                <c:pt idx="10">
                  <c:v>4</c:v>
                </c:pt>
                <c:pt idx="11">
                  <c:v>8</c:v>
                </c:pt>
                <c:pt idx="12">
                  <c:v>9</c:v>
                </c:pt>
                <c:pt idx="13">
                  <c:v>5</c:v>
                </c:pt>
                <c:pt idx="14">
                  <c:v>4</c:v>
                </c:pt>
                <c:pt idx="15">
                  <c:v>15</c:v>
                </c:pt>
                <c:pt idx="16">
                  <c:v>17</c:v>
                </c:pt>
                <c:pt idx="17">
                  <c:v>6</c:v>
                </c:pt>
                <c:pt idx="18">
                  <c:v>1</c:v>
                </c:pt>
                <c:pt idx="19">
                  <c:v>8</c:v>
                </c:pt>
                <c:pt idx="20">
                  <c:v>15</c:v>
                </c:pt>
                <c:pt idx="21">
                  <c:v>20</c:v>
                </c:pt>
                <c:pt idx="22">
                  <c:v>5</c:v>
                </c:pt>
                <c:pt idx="23">
                  <c:v>1</c:v>
                </c:pt>
                <c:pt idx="24">
                  <c:v>16</c:v>
                </c:pt>
                <c:pt idx="25">
                  <c:v>2</c:v>
                </c:pt>
                <c:pt idx="26">
                  <c:v>12</c:v>
                </c:pt>
                <c:pt idx="27">
                  <c:v>7</c:v>
                </c:pt>
                <c:pt idx="28">
                  <c:v>1</c:v>
                </c:pt>
                <c:pt idx="29">
                  <c:v>13</c:v>
                </c:pt>
                <c:pt idx="30">
                  <c:v>15</c:v>
                </c:pt>
                <c:pt idx="31">
                  <c:v>6</c:v>
                </c:pt>
                <c:pt idx="32">
                  <c:v>5</c:v>
                </c:pt>
                <c:pt idx="33">
                  <c:v>22</c:v>
                </c:pt>
                <c:pt idx="34">
                  <c:v>1</c:v>
                </c:pt>
                <c:pt idx="35">
                  <c:v>1</c:v>
                </c:pt>
                <c:pt idx="36">
                  <c:v>16</c:v>
                </c:pt>
                <c:pt idx="37">
                  <c:v>7</c:v>
                </c:pt>
                <c:pt idx="38">
                  <c:v>14</c:v>
                </c:pt>
                <c:pt idx="39">
                  <c:v>3</c:v>
                </c:pt>
                <c:pt idx="40">
                  <c:v>7</c:v>
                </c:pt>
                <c:pt idx="41">
                  <c:v>21</c:v>
                </c:pt>
                <c:pt idx="42">
                  <c:v>13</c:v>
                </c:pt>
                <c:pt idx="43">
                  <c:v>2</c:v>
                </c:pt>
                <c:pt idx="44">
                  <c:v>5</c:v>
                </c:pt>
                <c:pt idx="45">
                  <c:v>6</c:v>
                </c:pt>
                <c:pt idx="46">
                  <c:v>12</c:v>
                </c:pt>
                <c:pt idx="47">
                  <c:v>3</c:v>
                </c:pt>
                <c:pt idx="48">
                  <c:v>5</c:v>
                </c:pt>
                <c:pt idx="49">
                  <c:v>13</c:v>
                </c:pt>
                <c:pt idx="50">
                  <c:v>18</c:v>
                </c:pt>
                <c:pt idx="51">
                  <c:v>1</c:v>
                </c:pt>
                <c:pt idx="52">
                  <c:v>1</c:v>
                </c:pt>
                <c:pt idx="53">
                  <c:v>13</c:v>
                </c:pt>
                <c:pt idx="54">
                  <c:v>7</c:v>
                </c:pt>
                <c:pt idx="55">
                  <c:v>3</c:v>
                </c:pt>
                <c:pt idx="56">
                  <c:v>1</c:v>
                </c:pt>
                <c:pt idx="57">
                  <c:v>8</c:v>
                </c:pt>
                <c:pt idx="58">
                  <c:v>9</c:v>
                </c:pt>
                <c:pt idx="59">
                  <c:v>4</c:v>
                </c:pt>
                <c:pt idx="60">
                  <c:v>5</c:v>
                </c:pt>
                <c:pt idx="61">
                  <c:v>1</c:v>
                </c:pt>
                <c:pt idx="62">
                  <c:v>19</c:v>
                </c:pt>
                <c:pt idx="63">
                  <c:v>23</c:v>
                </c:pt>
                <c:pt idx="64">
                  <c:v>6</c:v>
                </c:pt>
                <c:pt idx="65">
                  <c:v>23</c:v>
                </c:pt>
                <c:pt idx="66">
                  <c:v>11</c:v>
                </c:pt>
                <c:pt idx="67">
                  <c:v>2</c:v>
                </c:pt>
                <c:pt idx="68">
                  <c:v>5</c:v>
                </c:pt>
                <c:pt idx="69">
                  <c:v>13</c:v>
                </c:pt>
                <c:pt idx="70">
                  <c:v>21</c:v>
                </c:pt>
                <c:pt idx="71">
                  <c:v>14</c:v>
                </c:pt>
                <c:pt idx="72">
                  <c:v>12</c:v>
                </c:pt>
                <c:pt idx="73">
                  <c:v>23</c:v>
                </c:pt>
                <c:pt idx="74">
                  <c:v>5</c:v>
                </c:pt>
                <c:pt idx="75">
                  <c:v>3</c:v>
                </c:pt>
                <c:pt idx="76">
                  <c:v>5</c:v>
                </c:pt>
                <c:pt idx="77">
                  <c:v>7</c:v>
                </c:pt>
                <c:pt idx="78">
                  <c:v>8</c:v>
                </c:pt>
                <c:pt idx="79">
                  <c:v>4</c:v>
                </c:pt>
                <c:pt idx="80">
                  <c:v>1</c:v>
                </c:pt>
                <c:pt idx="81">
                  <c:v>7</c:v>
                </c:pt>
                <c:pt idx="82">
                  <c:v>3</c:v>
                </c:pt>
                <c:pt idx="83">
                  <c:v>19</c:v>
                </c:pt>
                <c:pt idx="84">
                  <c:v>4</c:v>
                </c:pt>
                <c:pt idx="85">
                  <c:v>2</c:v>
                </c:pt>
                <c:pt idx="86">
                  <c:v>12</c:v>
                </c:pt>
                <c:pt idx="87">
                  <c:v>3</c:v>
                </c:pt>
                <c:pt idx="88">
                  <c:v>10</c:v>
                </c:pt>
                <c:pt idx="89">
                  <c:v>3</c:v>
                </c:pt>
                <c:pt idx="90">
                  <c:v>13</c:v>
                </c:pt>
                <c:pt idx="91">
                  <c:v>10</c:v>
                </c:pt>
                <c:pt idx="92">
                  <c:v>1</c:v>
                </c:pt>
                <c:pt idx="93">
                  <c:v>7</c:v>
                </c:pt>
                <c:pt idx="94">
                  <c:v>11</c:v>
                </c:pt>
                <c:pt idx="95">
                  <c:v>1</c:v>
                </c:pt>
                <c:pt idx="96">
                  <c:v>1</c:v>
                </c:pt>
                <c:pt idx="97">
                  <c:v>15</c:v>
                </c:pt>
                <c:pt idx="98">
                  <c:v>5</c:v>
                </c:pt>
                <c:pt idx="99">
                  <c:v>1</c:v>
                </c:pt>
                <c:pt idx="100">
                  <c:v>18</c:v>
                </c:pt>
                <c:pt idx="101">
                  <c:v>15</c:v>
                </c:pt>
                <c:pt idx="102">
                  <c:v>1</c:v>
                </c:pt>
                <c:pt idx="103">
                  <c:v>9</c:v>
                </c:pt>
                <c:pt idx="104">
                  <c:v>7</c:v>
                </c:pt>
                <c:pt idx="105">
                  <c:v>13</c:v>
                </c:pt>
                <c:pt idx="106">
                  <c:v>5</c:v>
                </c:pt>
                <c:pt idx="107">
                  <c:v>16</c:v>
                </c:pt>
                <c:pt idx="108">
                  <c:v>8</c:v>
                </c:pt>
                <c:pt idx="109">
                  <c:v>7</c:v>
                </c:pt>
                <c:pt idx="110">
                  <c:v>3</c:v>
                </c:pt>
                <c:pt idx="111">
                  <c:v>4</c:v>
                </c:pt>
                <c:pt idx="112">
                  <c:v>5</c:v>
                </c:pt>
                <c:pt idx="113">
                  <c:v>9</c:v>
                </c:pt>
                <c:pt idx="114">
                  <c:v>24</c:v>
                </c:pt>
                <c:pt idx="115">
                  <c:v>6</c:v>
                </c:pt>
                <c:pt idx="116">
                  <c:v>3</c:v>
                </c:pt>
                <c:pt idx="117">
                  <c:v>13</c:v>
                </c:pt>
                <c:pt idx="118">
                  <c:v>16</c:v>
                </c:pt>
                <c:pt idx="119">
                  <c:v>19</c:v>
                </c:pt>
                <c:pt idx="120">
                  <c:v>5</c:v>
                </c:pt>
                <c:pt idx="121">
                  <c:v>14</c:v>
                </c:pt>
                <c:pt idx="122">
                  <c:v>1</c:v>
                </c:pt>
                <c:pt idx="123">
                  <c:v>4</c:v>
                </c:pt>
                <c:pt idx="124">
                  <c:v>17</c:v>
                </c:pt>
                <c:pt idx="125">
                  <c:v>19</c:v>
                </c:pt>
                <c:pt idx="126">
                  <c:v>2</c:v>
                </c:pt>
                <c:pt idx="127">
                  <c:v>1</c:v>
                </c:pt>
                <c:pt idx="128">
                  <c:v>15</c:v>
                </c:pt>
                <c:pt idx="129">
                  <c:v>4</c:v>
                </c:pt>
                <c:pt idx="130">
                  <c:v>8</c:v>
                </c:pt>
                <c:pt idx="131">
                  <c:v>4</c:v>
                </c:pt>
                <c:pt idx="132">
                  <c:v>4</c:v>
                </c:pt>
                <c:pt idx="133">
                  <c:v>18</c:v>
                </c:pt>
                <c:pt idx="134">
                  <c:v>8</c:v>
                </c:pt>
                <c:pt idx="135">
                  <c:v>19</c:v>
                </c:pt>
                <c:pt idx="136">
                  <c:v>15</c:v>
                </c:pt>
                <c:pt idx="137">
                  <c:v>18</c:v>
                </c:pt>
                <c:pt idx="138">
                  <c:v>17</c:v>
                </c:pt>
                <c:pt idx="139">
                  <c:v>4</c:v>
                </c:pt>
                <c:pt idx="140">
                  <c:v>4</c:v>
                </c:pt>
                <c:pt idx="141">
                  <c:v>12</c:v>
                </c:pt>
                <c:pt idx="142">
                  <c:v>1</c:v>
                </c:pt>
                <c:pt idx="143">
                  <c:v>7</c:v>
                </c:pt>
                <c:pt idx="144">
                  <c:v>1</c:v>
                </c:pt>
                <c:pt idx="145">
                  <c:v>10</c:v>
                </c:pt>
                <c:pt idx="146">
                  <c:v>4</c:v>
                </c:pt>
                <c:pt idx="147">
                  <c:v>2</c:v>
                </c:pt>
                <c:pt idx="148">
                  <c:v>12</c:v>
                </c:pt>
                <c:pt idx="149">
                  <c:v>4</c:v>
                </c:pt>
                <c:pt idx="150">
                  <c:v>15</c:v>
                </c:pt>
                <c:pt idx="151">
                  <c:v>7</c:v>
                </c:pt>
                <c:pt idx="152">
                  <c:v>6</c:v>
                </c:pt>
                <c:pt idx="153">
                  <c:v>12</c:v>
                </c:pt>
                <c:pt idx="154">
                  <c:v>4</c:v>
                </c:pt>
                <c:pt idx="155">
                  <c:v>16</c:v>
                </c:pt>
                <c:pt idx="156">
                  <c:v>18</c:v>
                </c:pt>
                <c:pt idx="157">
                  <c:v>13</c:v>
                </c:pt>
                <c:pt idx="158">
                  <c:v>7</c:v>
                </c:pt>
                <c:pt idx="159">
                  <c:v>15</c:v>
                </c:pt>
                <c:pt idx="160">
                  <c:v>13</c:v>
                </c:pt>
                <c:pt idx="161">
                  <c:v>15</c:v>
                </c:pt>
                <c:pt idx="162">
                  <c:v>1</c:v>
                </c:pt>
                <c:pt idx="163">
                  <c:v>12</c:v>
                </c:pt>
                <c:pt idx="164">
                  <c:v>2</c:v>
                </c:pt>
                <c:pt idx="165">
                  <c:v>4</c:v>
                </c:pt>
                <c:pt idx="166">
                  <c:v>14</c:v>
                </c:pt>
                <c:pt idx="167">
                  <c:v>14</c:v>
                </c:pt>
                <c:pt idx="168">
                  <c:v>11</c:v>
                </c:pt>
                <c:pt idx="169">
                  <c:v>7</c:v>
                </c:pt>
                <c:pt idx="170">
                  <c:v>7</c:v>
                </c:pt>
                <c:pt idx="171">
                  <c:v>14</c:v>
                </c:pt>
                <c:pt idx="172">
                  <c:v>18</c:v>
                </c:pt>
                <c:pt idx="173">
                  <c:v>10</c:v>
                </c:pt>
                <c:pt idx="174">
                  <c:v>7</c:v>
                </c:pt>
                <c:pt idx="175">
                  <c:v>3</c:v>
                </c:pt>
                <c:pt idx="176">
                  <c:v>1</c:v>
                </c:pt>
                <c:pt idx="177">
                  <c:v>16</c:v>
                </c:pt>
                <c:pt idx="178">
                  <c:v>13</c:v>
                </c:pt>
                <c:pt idx="179">
                  <c:v>8</c:v>
                </c:pt>
                <c:pt idx="180">
                  <c:v>19</c:v>
                </c:pt>
                <c:pt idx="181">
                  <c:v>1</c:v>
                </c:pt>
                <c:pt idx="182">
                  <c:v>7</c:v>
                </c:pt>
                <c:pt idx="183">
                  <c:v>11</c:v>
                </c:pt>
                <c:pt idx="184">
                  <c:v>1</c:v>
                </c:pt>
                <c:pt idx="185">
                  <c:v>7</c:v>
                </c:pt>
                <c:pt idx="186">
                  <c:v>6</c:v>
                </c:pt>
                <c:pt idx="187">
                  <c:v>6</c:v>
                </c:pt>
                <c:pt idx="188">
                  <c:v>13</c:v>
                </c:pt>
                <c:pt idx="189">
                  <c:v>3</c:v>
                </c:pt>
                <c:pt idx="190">
                  <c:v>3</c:v>
                </c:pt>
                <c:pt idx="191">
                  <c:v>17</c:v>
                </c:pt>
                <c:pt idx="192">
                  <c:v>9</c:v>
                </c:pt>
                <c:pt idx="193">
                  <c:v>11</c:v>
                </c:pt>
                <c:pt idx="194">
                  <c:v>18</c:v>
                </c:pt>
                <c:pt idx="195">
                  <c:v>1</c:v>
                </c:pt>
                <c:pt idx="196">
                  <c:v>5</c:v>
                </c:pt>
                <c:pt idx="197">
                  <c:v>2</c:v>
                </c:pt>
                <c:pt idx="198">
                  <c:v>4</c:v>
                </c:pt>
                <c:pt idx="199">
                  <c:v>18</c:v>
                </c:pt>
                <c:pt idx="200">
                  <c:v>4</c:v>
                </c:pt>
                <c:pt idx="201">
                  <c:v>7</c:v>
                </c:pt>
                <c:pt idx="202">
                  <c:v>12</c:v>
                </c:pt>
                <c:pt idx="203">
                  <c:v>19</c:v>
                </c:pt>
              </c:numCache>
            </c:numRef>
          </c:xVal>
          <c:yVal>
            <c:numRef>
              <c:f>'Solution b &amp; c'!$P$2:$P$205</c:f>
              <c:numCache>
                <c:formatCode>General</c:formatCode>
                <c:ptCount val="204"/>
                <c:pt idx="0">
                  <c:v>57700</c:v>
                </c:pt>
                <c:pt idx="1">
                  <c:v>76400</c:v>
                </c:pt>
                <c:pt idx="2">
                  <c:v>44000</c:v>
                </c:pt>
                <c:pt idx="3">
                  <c:v>41600</c:v>
                </c:pt>
                <c:pt idx="4">
                  <c:v>163900</c:v>
                </c:pt>
                <c:pt idx="5">
                  <c:v>72700</c:v>
                </c:pt>
                <c:pt idx="6">
                  <c:v>60300</c:v>
                </c:pt>
                <c:pt idx="7">
                  <c:v>63500</c:v>
                </c:pt>
                <c:pt idx="8">
                  <c:v>131200</c:v>
                </c:pt>
                <c:pt idx="9">
                  <c:v>39200</c:v>
                </c:pt>
                <c:pt idx="10">
                  <c:v>62900</c:v>
                </c:pt>
                <c:pt idx="11">
                  <c:v>26200</c:v>
                </c:pt>
                <c:pt idx="12">
                  <c:v>74500</c:v>
                </c:pt>
                <c:pt idx="13">
                  <c:v>64800</c:v>
                </c:pt>
                <c:pt idx="14">
                  <c:v>21600</c:v>
                </c:pt>
                <c:pt idx="15">
                  <c:v>81900</c:v>
                </c:pt>
                <c:pt idx="16">
                  <c:v>115400</c:v>
                </c:pt>
                <c:pt idx="17">
                  <c:v>57800</c:v>
                </c:pt>
                <c:pt idx="18">
                  <c:v>55800</c:v>
                </c:pt>
                <c:pt idx="19">
                  <c:v>76100</c:v>
                </c:pt>
                <c:pt idx="20">
                  <c:v>135700</c:v>
                </c:pt>
                <c:pt idx="21">
                  <c:v>140400</c:v>
                </c:pt>
                <c:pt idx="22">
                  <c:v>55400</c:v>
                </c:pt>
                <c:pt idx="23">
                  <c:v>49700</c:v>
                </c:pt>
                <c:pt idx="24">
                  <c:v>134800</c:v>
                </c:pt>
                <c:pt idx="25">
                  <c:v>76900</c:v>
                </c:pt>
                <c:pt idx="26">
                  <c:v>28700</c:v>
                </c:pt>
                <c:pt idx="27">
                  <c:v>58800</c:v>
                </c:pt>
                <c:pt idx="28">
                  <c:v>43100</c:v>
                </c:pt>
                <c:pt idx="29">
                  <c:v>82400</c:v>
                </c:pt>
                <c:pt idx="30">
                  <c:v>80100</c:v>
                </c:pt>
                <c:pt idx="31">
                  <c:v>27000</c:v>
                </c:pt>
                <c:pt idx="32">
                  <c:v>58800</c:v>
                </c:pt>
                <c:pt idx="33">
                  <c:v>133100</c:v>
                </c:pt>
                <c:pt idx="34">
                  <c:v>53700</c:v>
                </c:pt>
                <c:pt idx="35">
                  <c:v>26700</c:v>
                </c:pt>
                <c:pt idx="36">
                  <c:v>81300</c:v>
                </c:pt>
                <c:pt idx="37">
                  <c:v>55400</c:v>
                </c:pt>
                <c:pt idx="38">
                  <c:v>139900</c:v>
                </c:pt>
                <c:pt idx="39">
                  <c:v>33200</c:v>
                </c:pt>
                <c:pt idx="40">
                  <c:v>75000</c:v>
                </c:pt>
                <c:pt idx="41">
                  <c:v>128200</c:v>
                </c:pt>
                <c:pt idx="42">
                  <c:v>76800</c:v>
                </c:pt>
                <c:pt idx="43">
                  <c:v>54200</c:v>
                </c:pt>
                <c:pt idx="44">
                  <c:v>32600</c:v>
                </c:pt>
                <c:pt idx="45">
                  <c:v>59200</c:v>
                </c:pt>
                <c:pt idx="46">
                  <c:v>74800</c:v>
                </c:pt>
                <c:pt idx="47">
                  <c:v>45500</c:v>
                </c:pt>
                <c:pt idx="48">
                  <c:v>46500</c:v>
                </c:pt>
                <c:pt idx="49">
                  <c:v>136300</c:v>
                </c:pt>
                <c:pt idx="50">
                  <c:v>86900</c:v>
                </c:pt>
                <c:pt idx="51">
                  <c:v>23900</c:v>
                </c:pt>
                <c:pt idx="52">
                  <c:v>52700</c:v>
                </c:pt>
                <c:pt idx="53">
                  <c:v>92700</c:v>
                </c:pt>
                <c:pt idx="54">
                  <c:v>59500</c:v>
                </c:pt>
                <c:pt idx="55">
                  <c:v>69400</c:v>
                </c:pt>
                <c:pt idx="56">
                  <c:v>46600</c:v>
                </c:pt>
                <c:pt idx="57">
                  <c:v>61700</c:v>
                </c:pt>
                <c:pt idx="58">
                  <c:v>88200</c:v>
                </c:pt>
                <c:pt idx="59">
                  <c:v>45000</c:v>
                </c:pt>
                <c:pt idx="60">
                  <c:v>52200</c:v>
                </c:pt>
                <c:pt idx="61">
                  <c:v>61400</c:v>
                </c:pt>
                <c:pt idx="62">
                  <c:v>87500</c:v>
                </c:pt>
                <c:pt idx="63">
                  <c:v>103700</c:v>
                </c:pt>
                <c:pt idx="64">
                  <c:v>54000</c:v>
                </c:pt>
                <c:pt idx="65">
                  <c:v>125100</c:v>
                </c:pt>
                <c:pt idx="66">
                  <c:v>45900</c:v>
                </c:pt>
                <c:pt idx="67">
                  <c:v>79300</c:v>
                </c:pt>
                <c:pt idx="68">
                  <c:v>108600</c:v>
                </c:pt>
                <c:pt idx="69">
                  <c:v>68200</c:v>
                </c:pt>
                <c:pt idx="70">
                  <c:v>65200</c:v>
                </c:pt>
                <c:pt idx="71">
                  <c:v>95600</c:v>
                </c:pt>
                <c:pt idx="72">
                  <c:v>103100</c:v>
                </c:pt>
                <c:pt idx="73">
                  <c:v>143500</c:v>
                </c:pt>
                <c:pt idx="74">
                  <c:v>78200</c:v>
                </c:pt>
                <c:pt idx="75">
                  <c:v>40200</c:v>
                </c:pt>
                <c:pt idx="76">
                  <c:v>60500</c:v>
                </c:pt>
                <c:pt idx="77">
                  <c:v>40500</c:v>
                </c:pt>
                <c:pt idx="78">
                  <c:v>73800</c:v>
                </c:pt>
                <c:pt idx="79">
                  <c:v>45300</c:v>
                </c:pt>
                <c:pt idx="80">
                  <c:v>61400</c:v>
                </c:pt>
                <c:pt idx="81">
                  <c:v>64800</c:v>
                </c:pt>
                <c:pt idx="82">
                  <c:v>75600</c:v>
                </c:pt>
                <c:pt idx="83">
                  <c:v>95800</c:v>
                </c:pt>
                <c:pt idx="84">
                  <c:v>126700</c:v>
                </c:pt>
                <c:pt idx="85">
                  <c:v>67000</c:v>
                </c:pt>
                <c:pt idx="86">
                  <c:v>102600</c:v>
                </c:pt>
                <c:pt idx="87">
                  <c:v>52000</c:v>
                </c:pt>
                <c:pt idx="88">
                  <c:v>76000</c:v>
                </c:pt>
                <c:pt idx="89">
                  <c:v>83000</c:v>
                </c:pt>
                <c:pt idx="90">
                  <c:v>80800</c:v>
                </c:pt>
                <c:pt idx="91">
                  <c:v>91100</c:v>
                </c:pt>
                <c:pt idx="92">
                  <c:v>30100</c:v>
                </c:pt>
                <c:pt idx="93">
                  <c:v>55700</c:v>
                </c:pt>
                <c:pt idx="94">
                  <c:v>51400</c:v>
                </c:pt>
                <c:pt idx="95">
                  <c:v>43800</c:v>
                </c:pt>
                <c:pt idx="96">
                  <c:v>25000</c:v>
                </c:pt>
                <c:pt idx="97">
                  <c:v>80600</c:v>
                </c:pt>
                <c:pt idx="98">
                  <c:v>39600</c:v>
                </c:pt>
                <c:pt idx="99">
                  <c:v>13400</c:v>
                </c:pt>
                <c:pt idx="100">
                  <c:v>88200</c:v>
                </c:pt>
                <c:pt idx="101">
                  <c:v>109100</c:v>
                </c:pt>
                <c:pt idx="102">
                  <c:v>34200</c:v>
                </c:pt>
                <c:pt idx="103">
                  <c:v>57800</c:v>
                </c:pt>
                <c:pt idx="104">
                  <c:v>68100</c:v>
                </c:pt>
                <c:pt idx="105">
                  <c:v>94900</c:v>
                </c:pt>
                <c:pt idx="106">
                  <c:v>63200</c:v>
                </c:pt>
                <c:pt idx="107">
                  <c:v>82700</c:v>
                </c:pt>
                <c:pt idx="108">
                  <c:v>85600</c:v>
                </c:pt>
                <c:pt idx="109">
                  <c:v>27100</c:v>
                </c:pt>
                <c:pt idx="110">
                  <c:v>69800</c:v>
                </c:pt>
                <c:pt idx="111">
                  <c:v>81300</c:v>
                </c:pt>
                <c:pt idx="112">
                  <c:v>78400</c:v>
                </c:pt>
                <c:pt idx="113">
                  <c:v>127300</c:v>
                </c:pt>
                <c:pt idx="114">
                  <c:v>93700</c:v>
                </c:pt>
                <c:pt idx="115">
                  <c:v>74400</c:v>
                </c:pt>
                <c:pt idx="116">
                  <c:v>48300</c:v>
                </c:pt>
                <c:pt idx="117">
                  <c:v>98900</c:v>
                </c:pt>
                <c:pt idx="118">
                  <c:v>73300</c:v>
                </c:pt>
                <c:pt idx="119">
                  <c:v>117300</c:v>
                </c:pt>
                <c:pt idx="120">
                  <c:v>37800</c:v>
                </c:pt>
                <c:pt idx="121">
                  <c:v>77400</c:v>
                </c:pt>
                <c:pt idx="122">
                  <c:v>111200</c:v>
                </c:pt>
                <c:pt idx="123">
                  <c:v>75300</c:v>
                </c:pt>
                <c:pt idx="124">
                  <c:v>96900</c:v>
                </c:pt>
                <c:pt idx="125">
                  <c:v>123600</c:v>
                </c:pt>
                <c:pt idx="126">
                  <c:v>55200</c:v>
                </c:pt>
                <c:pt idx="127">
                  <c:v>12400</c:v>
                </c:pt>
                <c:pt idx="128">
                  <c:v>73900</c:v>
                </c:pt>
                <c:pt idx="129">
                  <c:v>94100</c:v>
                </c:pt>
                <c:pt idx="130">
                  <c:v>74300</c:v>
                </c:pt>
                <c:pt idx="131">
                  <c:v>66900</c:v>
                </c:pt>
                <c:pt idx="132">
                  <c:v>12500</c:v>
                </c:pt>
                <c:pt idx="133">
                  <c:v>90200</c:v>
                </c:pt>
                <c:pt idx="134">
                  <c:v>59000</c:v>
                </c:pt>
                <c:pt idx="135">
                  <c:v>114700</c:v>
                </c:pt>
                <c:pt idx="136">
                  <c:v>71700</c:v>
                </c:pt>
                <c:pt idx="137">
                  <c:v>125500</c:v>
                </c:pt>
                <c:pt idx="138">
                  <c:v>100200</c:v>
                </c:pt>
                <c:pt idx="139">
                  <c:v>45400</c:v>
                </c:pt>
                <c:pt idx="140">
                  <c:v>72200</c:v>
                </c:pt>
                <c:pt idx="141">
                  <c:v>69500</c:v>
                </c:pt>
                <c:pt idx="142">
                  <c:v>67900</c:v>
                </c:pt>
                <c:pt idx="143">
                  <c:v>67500</c:v>
                </c:pt>
                <c:pt idx="144">
                  <c:v>31800</c:v>
                </c:pt>
                <c:pt idx="145">
                  <c:v>27800</c:v>
                </c:pt>
                <c:pt idx="146">
                  <c:v>60200</c:v>
                </c:pt>
                <c:pt idx="147">
                  <c:v>34500</c:v>
                </c:pt>
                <c:pt idx="148">
                  <c:v>87000</c:v>
                </c:pt>
                <c:pt idx="149">
                  <c:v>12500</c:v>
                </c:pt>
                <c:pt idx="150">
                  <c:v>122700</c:v>
                </c:pt>
                <c:pt idx="151">
                  <c:v>56200</c:v>
                </c:pt>
                <c:pt idx="152">
                  <c:v>56900</c:v>
                </c:pt>
                <c:pt idx="153">
                  <c:v>66000</c:v>
                </c:pt>
                <c:pt idx="154">
                  <c:v>76000</c:v>
                </c:pt>
                <c:pt idx="155">
                  <c:v>44100</c:v>
                </c:pt>
                <c:pt idx="156">
                  <c:v>78500</c:v>
                </c:pt>
                <c:pt idx="157">
                  <c:v>71800</c:v>
                </c:pt>
                <c:pt idx="158">
                  <c:v>80700</c:v>
                </c:pt>
                <c:pt idx="159">
                  <c:v>47800</c:v>
                </c:pt>
                <c:pt idx="160">
                  <c:v>105000</c:v>
                </c:pt>
                <c:pt idx="161">
                  <c:v>100700</c:v>
                </c:pt>
                <c:pt idx="162">
                  <c:v>18300</c:v>
                </c:pt>
                <c:pt idx="163">
                  <c:v>110600</c:v>
                </c:pt>
                <c:pt idx="164">
                  <c:v>36800</c:v>
                </c:pt>
                <c:pt idx="165">
                  <c:v>45500</c:v>
                </c:pt>
                <c:pt idx="166">
                  <c:v>71400</c:v>
                </c:pt>
                <c:pt idx="167">
                  <c:v>74300</c:v>
                </c:pt>
                <c:pt idx="168">
                  <c:v>160600</c:v>
                </c:pt>
                <c:pt idx="169">
                  <c:v>52500</c:v>
                </c:pt>
                <c:pt idx="170">
                  <c:v>65000</c:v>
                </c:pt>
                <c:pt idx="171">
                  <c:v>104500</c:v>
                </c:pt>
                <c:pt idx="172">
                  <c:v>85000</c:v>
                </c:pt>
                <c:pt idx="173">
                  <c:v>110200</c:v>
                </c:pt>
                <c:pt idx="174">
                  <c:v>80100</c:v>
                </c:pt>
                <c:pt idx="175">
                  <c:v>40000</c:v>
                </c:pt>
                <c:pt idx="176">
                  <c:v>55900</c:v>
                </c:pt>
                <c:pt idx="177">
                  <c:v>64600</c:v>
                </c:pt>
                <c:pt idx="178">
                  <c:v>68600</c:v>
                </c:pt>
                <c:pt idx="179">
                  <c:v>65100</c:v>
                </c:pt>
                <c:pt idx="180">
                  <c:v>111700</c:v>
                </c:pt>
                <c:pt idx="181">
                  <c:v>62000</c:v>
                </c:pt>
                <c:pt idx="182">
                  <c:v>55800</c:v>
                </c:pt>
                <c:pt idx="183">
                  <c:v>54600</c:v>
                </c:pt>
                <c:pt idx="184">
                  <c:v>37600</c:v>
                </c:pt>
                <c:pt idx="185">
                  <c:v>41200</c:v>
                </c:pt>
                <c:pt idx="186">
                  <c:v>49900</c:v>
                </c:pt>
                <c:pt idx="187">
                  <c:v>59400</c:v>
                </c:pt>
                <c:pt idx="188">
                  <c:v>65500</c:v>
                </c:pt>
                <c:pt idx="189">
                  <c:v>73200</c:v>
                </c:pt>
                <c:pt idx="190">
                  <c:v>30500</c:v>
                </c:pt>
                <c:pt idx="191">
                  <c:v>84800</c:v>
                </c:pt>
                <c:pt idx="192">
                  <c:v>95200</c:v>
                </c:pt>
                <c:pt idx="193">
                  <c:v>84900</c:v>
                </c:pt>
                <c:pt idx="194">
                  <c:v>102600</c:v>
                </c:pt>
                <c:pt idx="195">
                  <c:v>59000</c:v>
                </c:pt>
                <c:pt idx="196">
                  <c:v>44800</c:v>
                </c:pt>
                <c:pt idx="197">
                  <c:v>70500</c:v>
                </c:pt>
                <c:pt idx="198">
                  <c:v>83700</c:v>
                </c:pt>
                <c:pt idx="199">
                  <c:v>100000</c:v>
                </c:pt>
                <c:pt idx="200">
                  <c:v>39300</c:v>
                </c:pt>
                <c:pt idx="201">
                  <c:v>20400</c:v>
                </c:pt>
                <c:pt idx="202">
                  <c:v>74300</c:v>
                </c:pt>
                <c:pt idx="203">
                  <c:v>114500</c:v>
                </c:pt>
              </c:numCache>
            </c:numRef>
          </c:yVal>
          <c:smooth val="0"/>
        </c:ser>
        <c:dLbls>
          <c:showLegendKey val="0"/>
          <c:showVal val="0"/>
          <c:showCatName val="0"/>
          <c:showSerName val="0"/>
          <c:showPercent val="0"/>
          <c:showBubbleSize val="0"/>
        </c:dLbls>
        <c:axId val="152916736"/>
        <c:axId val="152918656"/>
      </c:scatterChart>
      <c:valAx>
        <c:axId val="152916736"/>
        <c:scaling>
          <c:orientation val="minMax"/>
        </c:scaling>
        <c:delete val="0"/>
        <c:axPos val="b"/>
        <c:title>
          <c:tx>
            <c:rich>
              <a:bodyPr/>
              <a:lstStyle/>
              <a:p>
                <a:pPr>
                  <a:defRPr/>
                </a:pPr>
                <a:r>
                  <a:rPr lang="en-US"/>
                  <a:t>Beta Experience</a:t>
                </a:r>
              </a:p>
            </c:rich>
          </c:tx>
          <c:overlay val="0"/>
        </c:title>
        <c:numFmt formatCode="General" sourceLinked="1"/>
        <c:majorTickMark val="out"/>
        <c:minorTickMark val="none"/>
        <c:tickLblPos val="nextTo"/>
        <c:crossAx val="152918656"/>
        <c:crosses val="autoZero"/>
        <c:crossBetween val="midCat"/>
      </c:valAx>
      <c:valAx>
        <c:axId val="152918656"/>
        <c:scaling>
          <c:orientation val="minMax"/>
        </c:scaling>
        <c:delete val="0"/>
        <c:axPos val="l"/>
        <c:majorGridlines/>
        <c:title>
          <c:tx>
            <c:rich>
              <a:bodyPr rot="-5400000" vert="horz"/>
              <a:lstStyle/>
              <a:p>
                <a:pPr>
                  <a:defRPr/>
                </a:pPr>
                <a:r>
                  <a:rPr lang="en-US"/>
                  <a:t>Annual Salary</a:t>
                </a:r>
              </a:p>
            </c:rich>
          </c:tx>
          <c:overlay val="0"/>
        </c:title>
        <c:numFmt formatCode="General" sourceLinked="1"/>
        <c:majorTickMark val="out"/>
        <c:minorTickMark val="none"/>
        <c:tickLblPos val="nextTo"/>
        <c:crossAx val="152916736"/>
        <c:crosses val="autoZero"/>
        <c:crossBetween val="midCat"/>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Scatterplot of Annual Salary on Education</a:t>
            </a:r>
          </a:p>
        </c:rich>
      </c:tx>
      <c:overlay val="0"/>
    </c:title>
    <c:autoTitleDeleted val="0"/>
    <c:plotArea>
      <c:layout/>
      <c:scatterChart>
        <c:scatterStyle val="lineMarker"/>
        <c:varyColors val="0"/>
        <c:ser>
          <c:idx val="0"/>
          <c:order val="0"/>
          <c:tx>
            <c:strRef>
              <c:f>'Solution b &amp; c'!$V$1</c:f>
              <c:strCache>
                <c:ptCount val="1"/>
                <c:pt idx="0">
                  <c:v>Annual Salary</c:v>
                </c:pt>
              </c:strCache>
            </c:strRef>
          </c:tx>
          <c:spPr>
            <a:ln w="28575">
              <a:noFill/>
            </a:ln>
          </c:spPr>
          <c:xVal>
            <c:numRef>
              <c:f>'Solution b &amp; c'!$U$2:$U$205</c:f>
              <c:numCache>
                <c:formatCode>General</c:formatCode>
                <c:ptCount val="204"/>
                <c:pt idx="0">
                  <c:v>4</c:v>
                </c:pt>
                <c:pt idx="1">
                  <c:v>6</c:v>
                </c:pt>
                <c:pt idx="2">
                  <c:v>4</c:v>
                </c:pt>
                <c:pt idx="3">
                  <c:v>4</c:v>
                </c:pt>
                <c:pt idx="4">
                  <c:v>8</c:v>
                </c:pt>
                <c:pt idx="5">
                  <c:v>4</c:v>
                </c:pt>
                <c:pt idx="6">
                  <c:v>6</c:v>
                </c:pt>
                <c:pt idx="7">
                  <c:v>4</c:v>
                </c:pt>
                <c:pt idx="8">
                  <c:v>6</c:v>
                </c:pt>
                <c:pt idx="9">
                  <c:v>4</c:v>
                </c:pt>
                <c:pt idx="10">
                  <c:v>6</c:v>
                </c:pt>
                <c:pt idx="11">
                  <c:v>0</c:v>
                </c:pt>
                <c:pt idx="12">
                  <c:v>4</c:v>
                </c:pt>
                <c:pt idx="13">
                  <c:v>6</c:v>
                </c:pt>
                <c:pt idx="14">
                  <c:v>0</c:v>
                </c:pt>
                <c:pt idx="15">
                  <c:v>6</c:v>
                </c:pt>
                <c:pt idx="16">
                  <c:v>4</c:v>
                </c:pt>
                <c:pt idx="17">
                  <c:v>4</c:v>
                </c:pt>
                <c:pt idx="18">
                  <c:v>4</c:v>
                </c:pt>
                <c:pt idx="19">
                  <c:v>4</c:v>
                </c:pt>
                <c:pt idx="20">
                  <c:v>8</c:v>
                </c:pt>
                <c:pt idx="21">
                  <c:v>4</c:v>
                </c:pt>
                <c:pt idx="22">
                  <c:v>4</c:v>
                </c:pt>
                <c:pt idx="23">
                  <c:v>4</c:v>
                </c:pt>
                <c:pt idx="24">
                  <c:v>6</c:v>
                </c:pt>
                <c:pt idx="25">
                  <c:v>4</c:v>
                </c:pt>
                <c:pt idx="26">
                  <c:v>2</c:v>
                </c:pt>
                <c:pt idx="27">
                  <c:v>4</c:v>
                </c:pt>
                <c:pt idx="28">
                  <c:v>4</c:v>
                </c:pt>
                <c:pt idx="29">
                  <c:v>6</c:v>
                </c:pt>
                <c:pt idx="30">
                  <c:v>4</c:v>
                </c:pt>
                <c:pt idx="31">
                  <c:v>0</c:v>
                </c:pt>
                <c:pt idx="32">
                  <c:v>6</c:v>
                </c:pt>
                <c:pt idx="33">
                  <c:v>4</c:v>
                </c:pt>
                <c:pt idx="34">
                  <c:v>6</c:v>
                </c:pt>
                <c:pt idx="35">
                  <c:v>2</c:v>
                </c:pt>
                <c:pt idx="36">
                  <c:v>4</c:v>
                </c:pt>
                <c:pt idx="37">
                  <c:v>4</c:v>
                </c:pt>
                <c:pt idx="38">
                  <c:v>8</c:v>
                </c:pt>
                <c:pt idx="39">
                  <c:v>2</c:v>
                </c:pt>
                <c:pt idx="40">
                  <c:v>4</c:v>
                </c:pt>
                <c:pt idx="41">
                  <c:v>4</c:v>
                </c:pt>
                <c:pt idx="42">
                  <c:v>4</c:v>
                </c:pt>
                <c:pt idx="43">
                  <c:v>6</c:v>
                </c:pt>
                <c:pt idx="44">
                  <c:v>2</c:v>
                </c:pt>
                <c:pt idx="45">
                  <c:v>6</c:v>
                </c:pt>
                <c:pt idx="46">
                  <c:v>4</c:v>
                </c:pt>
                <c:pt idx="47">
                  <c:v>4</c:v>
                </c:pt>
                <c:pt idx="48">
                  <c:v>4</c:v>
                </c:pt>
                <c:pt idx="49">
                  <c:v>6</c:v>
                </c:pt>
                <c:pt idx="50">
                  <c:v>4</c:v>
                </c:pt>
                <c:pt idx="51">
                  <c:v>0</c:v>
                </c:pt>
                <c:pt idx="52">
                  <c:v>6</c:v>
                </c:pt>
                <c:pt idx="53">
                  <c:v>4</c:v>
                </c:pt>
                <c:pt idx="54">
                  <c:v>4</c:v>
                </c:pt>
                <c:pt idx="55">
                  <c:v>6</c:v>
                </c:pt>
                <c:pt idx="56">
                  <c:v>6</c:v>
                </c:pt>
                <c:pt idx="57">
                  <c:v>4</c:v>
                </c:pt>
                <c:pt idx="58">
                  <c:v>4</c:v>
                </c:pt>
                <c:pt idx="59">
                  <c:v>6</c:v>
                </c:pt>
                <c:pt idx="60">
                  <c:v>0</c:v>
                </c:pt>
                <c:pt idx="61">
                  <c:v>6</c:v>
                </c:pt>
                <c:pt idx="62">
                  <c:v>4</c:v>
                </c:pt>
                <c:pt idx="63">
                  <c:v>4</c:v>
                </c:pt>
                <c:pt idx="64">
                  <c:v>4</c:v>
                </c:pt>
                <c:pt idx="65">
                  <c:v>4</c:v>
                </c:pt>
                <c:pt idx="66">
                  <c:v>2</c:v>
                </c:pt>
                <c:pt idx="67">
                  <c:v>6</c:v>
                </c:pt>
                <c:pt idx="68">
                  <c:v>6</c:v>
                </c:pt>
                <c:pt idx="69">
                  <c:v>6</c:v>
                </c:pt>
                <c:pt idx="70">
                  <c:v>2</c:v>
                </c:pt>
                <c:pt idx="71">
                  <c:v>4</c:v>
                </c:pt>
                <c:pt idx="72">
                  <c:v>4</c:v>
                </c:pt>
                <c:pt idx="73">
                  <c:v>4</c:v>
                </c:pt>
                <c:pt idx="74">
                  <c:v>4</c:v>
                </c:pt>
                <c:pt idx="75">
                  <c:v>4</c:v>
                </c:pt>
                <c:pt idx="76">
                  <c:v>4</c:v>
                </c:pt>
                <c:pt idx="77">
                  <c:v>4</c:v>
                </c:pt>
                <c:pt idx="78">
                  <c:v>4</c:v>
                </c:pt>
                <c:pt idx="79">
                  <c:v>4</c:v>
                </c:pt>
                <c:pt idx="80">
                  <c:v>4</c:v>
                </c:pt>
                <c:pt idx="81">
                  <c:v>6</c:v>
                </c:pt>
                <c:pt idx="82">
                  <c:v>6</c:v>
                </c:pt>
                <c:pt idx="83">
                  <c:v>6</c:v>
                </c:pt>
                <c:pt idx="84">
                  <c:v>8</c:v>
                </c:pt>
                <c:pt idx="85">
                  <c:v>4</c:v>
                </c:pt>
                <c:pt idx="86">
                  <c:v>4</c:v>
                </c:pt>
                <c:pt idx="87">
                  <c:v>4</c:v>
                </c:pt>
                <c:pt idx="88">
                  <c:v>4</c:v>
                </c:pt>
                <c:pt idx="89">
                  <c:v>8</c:v>
                </c:pt>
                <c:pt idx="90">
                  <c:v>4</c:v>
                </c:pt>
                <c:pt idx="91">
                  <c:v>6</c:v>
                </c:pt>
                <c:pt idx="92">
                  <c:v>0</c:v>
                </c:pt>
                <c:pt idx="93">
                  <c:v>4</c:v>
                </c:pt>
                <c:pt idx="94">
                  <c:v>4</c:v>
                </c:pt>
                <c:pt idx="95">
                  <c:v>4</c:v>
                </c:pt>
                <c:pt idx="96">
                  <c:v>4</c:v>
                </c:pt>
                <c:pt idx="97">
                  <c:v>2</c:v>
                </c:pt>
                <c:pt idx="98">
                  <c:v>2</c:v>
                </c:pt>
                <c:pt idx="99">
                  <c:v>2</c:v>
                </c:pt>
                <c:pt idx="100">
                  <c:v>4</c:v>
                </c:pt>
                <c:pt idx="101">
                  <c:v>6</c:v>
                </c:pt>
                <c:pt idx="102">
                  <c:v>4</c:v>
                </c:pt>
                <c:pt idx="103">
                  <c:v>4</c:v>
                </c:pt>
                <c:pt idx="104">
                  <c:v>4</c:v>
                </c:pt>
                <c:pt idx="105">
                  <c:v>6</c:v>
                </c:pt>
                <c:pt idx="106">
                  <c:v>6</c:v>
                </c:pt>
                <c:pt idx="107">
                  <c:v>4</c:v>
                </c:pt>
                <c:pt idx="108">
                  <c:v>6</c:v>
                </c:pt>
                <c:pt idx="109">
                  <c:v>2</c:v>
                </c:pt>
                <c:pt idx="110">
                  <c:v>4</c:v>
                </c:pt>
                <c:pt idx="111">
                  <c:v>4</c:v>
                </c:pt>
                <c:pt idx="112">
                  <c:v>4</c:v>
                </c:pt>
                <c:pt idx="113">
                  <c:v>6</c:v>
                </c:pt>
                <c:pt idx="114">
                  <c:v>4</c:v>
                </c:pt>
                <c:pt idx="115">
                  <c:v>6</c:v>
                </c:pt>
                <c:pt idx="116">
                  <c:v>4</c:v>
                </c:pt>
                <c:pt idx="117">
                  <c:v>6</c:v>
                </c:pt>
                <c:pt idx="118">
                  <c:v>4</c:v>
                </c:pt>
                <c:pt idx="119">
                  <c:v>6</c:v>
                </c:pt>
                <c:pt idx="120">
                  <c:v>0</c:v>
                </c:pt>
                <c:pt idx="121">
                  <c:v>4</c:v>
                </c:pt>
                <c:pt idx="122">
                  <c:v>8</c:v>
                </c:pt>
                <c:pt idx="123">
                  <c:v>4</c:v>
                </c:pt>
                <c:pt idx="124">
                  <c:v>4</c:v>
                </c:pt>
                <c:pt idx="125">
                  <c:v>6</c:v>
                </c:pt>
                <c:pt idx="126">
                  <c:v>4</c:v>
                </c:pt>
                <c:pt idx="127">
                  <c:v>0</c:v>
                </c:pt>
                <c:pt idx="128">
                  <c:v>4</c:v>
                </c:pt>
                <c:pt idx="129">
                  <c:v>4</c:v>
                </c:pt>
                <c:pt idx="130">
                  <c:v>4</c:v>
                </c:pt>
                <c:pt idx="131">
                  <c:v>4</c:v>
                </c:pt>
                <c:pt idx="132">
                  <c:v>2</c:v>
                </c:pt>
                <c:pt idx="133">
                  <c:v>6</c:v>
                </c:pt>
                <c:pt idx="134">
                  <c:v>4</c:v>
                </c:pt>
                <c:pt idx="135">
                  <c:v>6</c:v>
                </c:pt>
                <c:pt idx="136">
                  <c:v>2</c:v>
                </c:pt>
                <c:pt idx="137">
                  <c:v>0</c:v>
                </c:pt>
                <c:pt idx="138">
                  <c:v>4</c:v>
                </c:pt>
                <c:pt idx="139">
                  <c:v>6</c:v>
                </c:pt>
                <c:pt idx="140">
                  <c:v>4</c:v>
                </c:pt>
                <c:pt idx="141">
                  <c:v>4</c:v>
                </c:pt>
                <c:pt idx="142">
                  <c:v>4</c:v>
                </c:pt>
                <c:pt idx="143">
                  <c:v>6</c:v>
                </c:pt>
                <c:pt idx="144">
                  <c:v>4</c:v>
                </c:pt>
                <c:pt idx="145">
                  <c:v>2</c:v>
                </c:pt>
                <c:pt idx="146">
                  <c:v>6</c:v>
                </c:pt>
                <c:pt idx="147">
                  <c:v>4</c:v>
                </c:pt>
                <c:pt idx="148">
                  <c:v>6</c:v>
                </c:pt>
                <c:pt idx="149">
                  <c:v>2</c:v>
                </c:pt>
                <c:pt idx="150">
                  <c:v>8</c:v>
                </c:pt>
                <c:pt idx="151">
                  <c:v>4</c:v>
                </c:pt>
                <c:pt idx="152">
                  <c:v>2</c:v>
                </c:pt>
                <c:pt idx="153">
                  <c:v>4</c:v>
                </c:pt>
                <c:pt idx="154">
                  <c:v>4</c:v>
                </c:pt>
                <c:pt idx="155">
                  <c:v>2</c:v>
                </c:pt>
                <c:pt idx="156">
                  <c:v>4</c:v>
                </c:pt>
                <c:pt idx="157">
                  <c:v>4</c:v>
                </c:pt>
                <c:pt idx="158">
                  <c:v>6</c:v>
                </c:pt>
                <c:pt idx="159">
                  <c:v>2</c:v>
                </c:pt>
                <c:pt idx="160">
                  <c:v>4</c:v>
                </c:pt>
                <c:pt idx="161">
                  <c:v>6</c:v>
                </c:pt>
                <c:pt idx="162">
                  <c:v>0</c:v>
                </c:pt>
                <c:pt idx="163">
                  <c:v>6</c:v>
                </c:pt>
                <c:pt idx="164">
                  <c:v>4</c:v>
                </c:pt>
                <c:pt idx="165">
                  <c:v>6</c:v>
                </c:pt>
                <c:pt idx="166">
                  <c:v>6</c:v>
                </c:pt>
                <c:pt idx="167">
                  <c:v>4</c:v>
                </c:pt>
                <c:pt idx="168">
                  <c:v>8</c:v>
                </c:pt>
                <c:pt idx="169">
                  <c:v>6</c:v>
                </c:pt>
                <c:pt idx="170">
                  <c:v>4</c:v>
                </c:pt>
                <c:pt idx="171">
                  <c:v>4</c:v>
                </c:pt>
                <c:pt idx="172">
                  <c:v>4</c:v>
                </c:pt>
                <c:pt idx="173">
                  <c:v>8</c:v>
                </c:pt>
                <c:pt idx="174">
                  <c:v>4</c:v>
                </c:pt>
                <c:pt idx="175">
                  <c:v>4</c:v>
                </c:pt>
                <c:pt idx="176">
                  <c:v>4</c:v>
                </c:pt>
                <c:pt idx="177">
                  <c:v>4</c:v>
                </c:pt>
                <c:pt idx="178">
                  <c:v>6</c:v>
                </c:pt>
                <c:pt idx="179">
                  <c:v>4</c:v>
                </c:pt>
                <c:pt idx="180">
                  <c:v>4</c:v>
                </c:pt>
                <c:pt idx="181">
                  <c:v>4</c:v>
                </c:pt>
                <c:pt idx="182">
                  <c:v>4</c:v>
                </c:pt>
                <c:pt idx="183">
                  <c:v>2</c:v>
                </c:pt>
                <c:pt idx="184">
                  <c:v>4</c:v>
                </c:pt>
                <c:pt idx="185">
                  <c:v>4</c:v>
                </c:pt>
                <c:pt idx="186">
                  <c:v>6</c:v>
                </c:pt>
                <c:pt idx="187">
                  <c:v>4</c:v>
                </c:pt>
                <c:pt idx="188">
                  <c:v>4</c:v>
                </c:pt>
                <c:pt idx="189">
                  <c:v>6</c:v>
                </c:pt>
                <c:pt idx="190">
                  <c:v>4</c:v>
                </c:pt>
                <c:pt idx="191">
                  <c:v>4</c:v>
                </c:pt>
                <c:pt idx="192">
                  <c:v>4</c:v>
                </c:pt>
                <c:pt idx="193">
                  <c:v>4</c:v>
                </c:pt>
                <c:pt idx="194">
                  <c:v>4</c:v>
                </c:pt>
                <c:pt idx="195">
                  <c:v>4</c:v>
                </c:pt>
                <c:pt idx="196">
                  <c:v>4</c:v>
                </c:pt>
                <c:pt idx="197">
                  <c:v>4</c:v>
                </c:pt>
                <c:pt idx="198">
                  <c:v>6</c:v>
                </c:pt>
                <c:pt idx="199">
                  <c:v>4</c:v>
                </c:pt>
                <c:pt idx="200">
                  <c:v>4</c:v>
                </c:pt>
                <c:pt idx="201">
                  <c:v>2</c:v>
                </c:pt>
                <c:pt idx="202">
                  <c:v>6</c:v>
                </c:pt>
                <c:pt idx="203">
                  <c:v>4</c:v>
                </c:pt>
              </c:numCache>
            </c:numRef>
          </c:xVal>
          <c:yVal>
            <c:numRef>
              <c:f>'Solution b &amp; c'!$V$2:$V$205</c:f>
              <c:numCache>
                <c:formatCode>General</c:formatCode>
                <c:ptCount val="204"/>
                <c:pt idx="0">
                  <c:v>57700</c:v>
                </c:pt>
                <c:pt idx="1">
                  <c:v>76400</c:v>
                </c:pt>
                <c:pt idx="2">
                  <c:v>44000</c:v>
                </c:pt>
                <c:pt idx="3">
                  <c:v>41600</c:v>
                </c:pt>
                <c:pt idx="4">
                  <c:v>163900</c:v>
                </c:pt>
                <c:pt idx="5">
                  <c:v>72700</c:v>
                </c:pt>
                <c:pt idx="6">
                  <c:v>60300</c:v>
                </c:pt>
                <c:pt idx="7">
                  <c:v>63500</c:v>
                </c:pt>
                <c:pt idx="8">
                  <c:v>131200</c:v>
                </c:pt>
                <c:pt idx="9">
                  <c:v>39200</c:v>
                </c:pt>
                <c:pt idx="10">
                  <c:v>62900</c:v>
                </c:pt>
                <c:pt idx="11">
                  <c:v>26200</c:v>
                </c:pt>
                <c:pt idx="12">
                  <c:v>74500</c:v>
                </c:pt>
                <c:pt idx="13">
                  <c:v>64800</c:v>
                </c:pt>
                <c:pt idx="14">
                  <c:v>21600</c:v>
                </c:pt>
                <c:pt idx="15">
                  <c:v>81900</c:v>
                </c:pt>
                <c:pt idx="16">
                  <c:v>115400</c:v>
                </c:pt>
                <c:pt idx="17">
                  <c:v>57800</c:v>
                </c:pt>
                <c:pt idx="18">
                  <c:v>55800</c:v>
                </c:pt>
                <c:pt idx="19">
                  <c:v>76100</c:v>
                </c:pt>
                <c:pt idx="20">
                  <c:v>135700</c:v>
                </c:pt>
                <c:pt idx="21">
                  <c:v>140400</c:v>
                </c:pt>
                <c:pt idx="22">
                  <c:v>55400</c:v>
                </c:pt>
                <c:pt idx="23">
                  <c:v>49700</c:v>
                </c:pt>
                <c:pt idx="24">
                  <c:v>134800</c:v>
                </c:pt>
                <c:pt idx="25">
                  <c:v>76900</c:v>
                </c:pt>
                <c:pt idx="26">
                  <c:v>28700</c:v>
                </c:pt>
                <c:pt idx="27">
                  <c:v>58800</c:v>
                </c:pt>
                <c:pt idx="28">
                  <c:v>43100</c:v>
                </c:pt>
                <c:pt idx="29">
                  <c:v>82400</c:v>
                </c:pt>
                <c:pt idx="30">
                  <c:v>80100</c:v>
                </c:pt>
                <c:pt idx="31">
                  <c:v>27000</c:v>
                </c:pt>
                <c:pt idx="32">
                  <c:v>58800</c:v>
                </c:pt>
                <c:pt idx="33">
                  <c:v>133100</c:v>
                </c:pt>
                <c:pt idx="34">
                  <c:v>53700</c:v>
                </c:pt>
                <c:pt idx="35">
                  <c:v>26700</c:v>
                </c:pt>
                <c:pt idx="36">
                  <c:v>81300</c:v>
                </c:pt>
                <c:pt idx="37">
                  <c:v>55400</c:v>
                </c:pt>
                <c:pt idx="38">
                  <c:v>139900</c:v>
                </c:pt>
                <c:pt idx="39">
                  <c:v>33200</c:v>
                </c:pt>
                <c:pt idx="40">
                  <c:v>75000</c:v>
                </c:pt>
                <c:pt idx="41">
                  <c:v>128200</c:v>
                </c:pt>
                <c:pt idx="42">
                  <c:v>76800</c:v>
                </c:pt>
                <c:pt idx="43">
                  <c:v>54200</c:v>
                </c:pt>
                <c:pt idx="44">
                  <c:v>32600</c:v>
                </c:pt>
                <c:pt idx="45">
                  <c:v>59200</c:v>
                </c:pt>
                <c:pt idx="46">
                  <c:v>74800</c:v>
                </c:pt>
                <c:pt idx="47">
                  <c:v>45500</c:v>
                </c:pt>
                <c:pt idx="48">
                  <c:v>46500</c:v>
                </c:pt>
                <c:pt idx="49">
                  <c:v>136300</c:v>
                </c:pt>
                <c:pt idx="50">
                  <c:v>86900</c:v>
                </c:pt>
                <c:pt idx="51">
                  <c:v>23900</c:v>
                </c:pt>
                <c:pt idx="52">
                  <c:v>52700</c:v>
                </c:pt>
                <c:pt idx="53">
                  <c:v>92700</c:v>
                </c:pt>
                <c:pt idx="54">
                  <c:v>59500</c:v>
                </c:pt>
                <c:pt idx="55">
                  <c:v>69400</c:v>
                </c:pt>
                <c:pt idx="56">
                  <c:v>46600</c:v>
                </c:pt>
                <c:pt idx="57">
                  <c:v>61700</c:v>
                </c:pt>
                <c:pt idx="58">
                  <c:v>88200</c:v>
                </c:pt>
                <c:pt idx="59">
                  <c:v>45000</c:v>
                </c:pt>
                <c:pt idx="60">
                  <c:v>52200</c:v>
                </c:pt>
                <c:pt idx="61">
                  <c:v>61400</c:v>
                </c:pt>
                <c:pt idx="62">
                  <c:v>87500</c:v>
                </c:pt>
                <c:pt idx="63">
                  <c:v>103700</c:v>
                </c:pt>
                <c:pt idx="64">
                  <c:v>54000</c:v>
                </c:pt>
                <c:pt idx="65">
                  <c:v>125100</c:v>
                </c:pt>
                <c:pt idx="66">
                  <c:v>45900</c:v>
                </c:pt>
                <c:pt idx="67">
                  <c:v>79300</c:v>
                </c:pt>
                <c:pt idx="68">
                  <c:v>108600</c:v>
                </c:pt>
                <c:pt idx="69">
                  <c:v>68200</c:v>
                </c:pt>
                <c:pt idx="70">
                  <c:v>65200</c:v>
                </c:pt>
                <c:pt idx="71">
                  <c:v>95600</c:v>
                </c:pt>
                <c:pt idx="72">
                  <c:v>103100</c:v>
                </c:pt>
                <c:pt idx="73">
                  <c:v>143500</c:v>
                </c:pt>
                <c:pt idx="74">
                  <c:v>78200</c:v>
                </c:pt>
                <c:pt idx="75">
                  <c:v>40200</c:v>
                </c:pt>
                <c:pt idx="76">
                  <c:v>60500</c:v>
                </c:pt>
                <c:pt idx="77">
                  <c:v>40500</c:v>
                </c:pt>
                <c:pt idx="78">
                  <c:v>73800</c:v>
                </c:pt>
                <c:pt idx="79">
                  <c:v>45300</c:v>
                </c:pt>
                <c:pt idx="80">
                  <c:v>61400</c:v>
                </c:pt>
                <c:pt idx="81">
                  <c:v>64800</c:v>
                </c:pt>
                <c:pt idx="82">
                  <c:v>75600</c:v>
                </c:pt>
                <c:pt idx="83">
                  <c:v>95800</c:v>
                </c:pt>
                <c:pt idx="84">
                  <c:v>126700</c:v>
                </c:pt>
                <c:pt idx="85">
                  <c:v>67000</c:v>
                </c:pt>
                <c:pt idx="86">
                  <c:v>102600</c:v>
                </c:pt>
                <c:pt idx="87">
                  <c:v>52000</c:v>
                </c:pt>
                <c:pt idx="88">
                  <c:v>76000</c:v>
                </c:pt>
                <c:pt idx="89">
                  <c:v>83000</c:v>
                </c:pt>
                <c:pt idx="90">
                  <c:v>80800</c:v>
                </c:pt>
                <c:pt idx="91">
                  <c:v>91100</c:v>
                </c:pt>
                <c:pt idx="92">
                  <c:v>30100</c:v>
                </c:pt>
                <c:pt idx="93">
                  <c:v>55700</c:v>
                </c:pt>
                <c:pt idx="94">
                  <c:v>51400</c:v>
                </c:pt>
                <c:pt idx="95">
                  <c:v>43800</c:v>
                </c:pt>
                <c:pt idx="96">
                  <c:v>25000</c:v>
                </c:pt>
                <c:pt idx="97">
                  <c:v>80600</c:v>
                </c:pt>
                <c:pt idx="98">
                  <c:v>39600</c:v>
                </c:pt>
                <c:pt idx="99">
                  <c:v>13400</c:v>
                </c:pt>
                <c:pt idx="100">
                  <c:v>88200</c:v>
                </c:pt>
                <c:pt idx="101">
                  <c:v>109100</c:v>
                </c:pt>
                <c:pt idx="102">
                  <c:v>34200</c:v>
                </c:pt>
                <c:pt idx="103">
                  <c:v>57800</c:v>
                </c:pt>
                <c:pt idx="104">
                  <c:v>68100</c:v>
                </c:pt>
                <c:pt idx="105">
                  <c:v>94900</c:v>
                </c:pt>
                <c:pt idx="106">
                  <c:v>63200</c:v>
                </c:pt>
                <c:pt idx="107">
                  <c:v>82700</c:v>
                </c:pt>
                <c:pt idx="108">
                  <c:v>85600</c:v>
                </c:pt>
                <c:pt idx="109">
                  <c:v>27100</c:v>
                </c:pt>
                <c:pt idx="110">
                  <c:v>69800</c:v>
                </c:pt>
                <c:pt idx="111">
                  <c:v>81300</c:v>
                </c:pt>
                <c:pt idx="112">
                  <c:v>78400</c:v>
                </c:pt>
                <c:pt idx="113">
                  <c:v>127300</c:v>
                </c:pt>
                <c:pt idx="114">
                  <c:v>93700</c:v>
                </c:pt>
                <c:pt idx="115">
                  <c:v>74400</c:v>
                </c:pt>
                <c:pt idx="116">
                  <c:v>48300</c:v>
                </c:pt>
                <c:pt idx="117">
                  <c:v>98900</c:v>
                </c:pt>
                <c:pt idx="118">
                  <c:v>73300</c:v>
                </c:pt>
                <c:pt idx="119">
                  <c:v>117300</c:v>
                </c:pt>
                <c:pt idx="120">
                  <c:v>37800</c:v>
                </c:pt>
                <c:pt idx="121">
                  <c:v>77400</c:v>
                </c:pt>
                <c:pt idx="122">
                  <c:v>111200</c:v>
                </c:pt>
                <c:pt idx="123">
                  <c:v>75300</c:v>
                </c:pt>
                <c:pt idx="124">
                  <c:v>96900</c:v>
                </c:pt>
                <c:pt idx="125">
                  <c:v>123600</c:v>
                </c:pt>
                <c:pt idx="126">
                  <c:v>55200</c:v>
                </c:pt>
                <c:pt idx="127">
                  <c:v>12400</c:v>
                </c:pt>
                <c:pt idx="128">
                  <c:v>73900</c:v>
                </c:pt>
                <c:pt idx="129">
                  <c:v>94100</c:v>
                </c:pt>
                <c:pt idx="130">
                  <c:v>74300</c:v>
                </c:pt>
                <c:pt idx="131">
                  <c:v>66900</c:v>
                </c:pt>
                <c:pt idx="132">
                  <c:v>12500</c:v>
                </c:pt>
                <c:pt idx="133">
                  <c:v>90200</c:v>
                </c:pt>
                <c:pt idx="134">
                  <c:v>59000</c:v>
                </c:pt>
                <c:pt idx="135">
                  <c:v>114700</c:v>
                </c:pt>
                <c:pt idx="136">
                  <c:v>71700</c:v>
                </c:pt>
                <c:pt idx="137">
                  <c:v>125500</c:v>
                </c:pt>
                <c:pt idx="138">
                  <c:v>100200</c:v>
                </c:pt>
                <c:pt idx="139">
                  <c:v>45400</c:v>
                </c:pt>
                <c:pt idx="140">
                  <c:v>72200</c:v>
                </c:pt>
                <c:pt idx="141">
                  <c:v>69500</c:v>
                </c:pt>
                <c:pt idx="142">
                  <c:v>67900</c:v>
                </c:pt>
                <c:pt idx="143">
                  <c:v>67500</c:v>
                </c:pt>
                <c:pt idx="144">
                  <c:v>31800</c:v>
                </c:pt>
                <c:pt idx="145">
                  <c:v>27800</c:v>
                </c:pt>
                <c:pt idx="146">
                  <c:v>60200</c:v>
                </c:pt>
                <c:pt idx="147">
                  <c:v>34500</c:v>
                </c:pt>
                <c:pt idx="148">
                  <c:v>87000</c:v>
                </c:pt>
                <c:pt idx="149">
                  <c:v>12500</c:v>
                </c:pt>
                <c:pt idx="150">
                  <c:v>122700</c:v>
                </c:pt>
                <c:pt idx="151">
                  <c:v>56200</c:v>
                </c:pt>
                <c:pt idx="152">
                  <c:v>56900</c:v>
                </c:pt>
                <c:pt idx="153">
                  <c:v>66000</c:v>
                </c:pt>
                <c:pt idx="154">
                  <c:v>76000</c:v>
                </c:pt>
                <c:pt idx="155">
                  <c:v>44100</c:v>
                </c:pt>
                <c:pt idx="156">
                  <c:v>78500</c:v>
                </c:pt>
                <c:pt idx="157">
                  <c:v>71800</c:v>
                </c:pt>
                <c:pt idx="158">
                  <c:v>80700</c:v>
                </c:pt>
                <c:pt idx="159">
                  <c:v>47800</c:v>
                </c:pt>
                <c:pt idx="160">
                  <c:v>105000</c:v>
                </c:pt>
                <c:pt idx="161">
                  <c:v>100700</c:v>
                </c:pt>
                <c:pt idx="162">
                  <c:v>18300</c:v>
                </c:pt>
                <c:pt idx="163">
                  <c:v>110600</c:v>
                </c:pt>
                <c:pt idx="164">
                  <c:v>36800</c:v>
                </c:pt>
                <c:pt idx="165">
                  <c:v>45500</c:v>
                </c:pt>
                <c:pt idx="166">
                  <c:v>71400</c:v>
                </c:pt>
                <c:pt idx="167">
                  <c:v>74300</c:v>
                </c:pt>
                <c:pt idx="168">
                  <c:v>160600</c:v>
                </c:pt>
                <c:pt idx="169">
                  <c:v>52500</c:v>
                </c:pt>
                <c:pt idx="170">
                  <c:v>65000</c:v>
                </c:pt>
                <c:pt idx="171">
                  <c:v>104500</c:v>
                </c:pt>
                <c:pt idx="172">
                  <c:v>85000</c:v>
                </c:pt>
                <c:pt idx="173">
                  <c:v>110200</c:v>
                </c:pt>
                <c:pt idx="174">
                  <c:v>80100</c:v>
                </c:pt>
                <c:pt idx="175">
                  <c:v>40000</c:v>
                </c:pt>
                <c:pt idx="176">
                  <c:v>55900</c:v>
                </c:pt>
                <c:pt idx="177">
                  <c:v>64600</c:v>
                </c:pt>
                <c:pt idx="178">
                  <c:v>68600</c:v>
                </c:pt>
                <c:pt idx="179">
                  <c:v>65100</c:v>
                </c:pt>
                <c:pt idx="180">
                  <c:v>111700</c:v>
                </c:pt>
                <c:pt idx="181">
                  <c:v>62000</c:v>
                </c:pt>
                <c:pt idx="182">
                  <c:v>55800</c:v>
                </c:pt>
                <c:pt idx="183">
                  <c:v>54600</c:v>
                </c:pt>
                <c:pt idx="184">
                  <c:v>37600</c:v>
                </c:pt>
                <c:pt idx="185">
                  <c:v>41200</c:v>
                </c:pt>
                <c:pt idx="186">
                  <c:v>49900</c:v>
                </c:pt>
                <c:pt idx="187">
                  <c:v>59400</c:v>
                </c:pt>
                <c:pt idx="188">
                  <c:v>65500</c:v>
                </c:pt>
                <c:pt idx="189">
                  <c:v>73200</c:v>
                </c:pt>
                <c:pt idx="190">
                  <c:v>30500</c:v>
                </c:pt>
                <c:pt idx="191">
                  <c:v>84800</c:v>
                </c:pt>
                <c:pt idx="192">
                  <c:v>95200</c:v>
                </c:pt>
                <c:pt idx="193">
                  <c:v>84900</c:v>
                </c:pt>
                <c:pt idx="194">
                  <c:v>102600</c:v>
                </c:pt>
                <c:pt idx="195">
                  <c:v>59000</c:v>
                </c:pt>
                <c:pt idx="196">
                  <c:v>44800</c:v>
                </c:pt>
                <c:pt idx="197">
                  <c:v>70500</c:v>
                </c:pt>
                <c:pt idx="198">
                  <c:v>83700</c:v>
                </c:pt>
                <c:pt idx="199">
                  <c:v>100000</c:v>
                </c:pt>
                <c:pt idx="200">
                  <c:v>39300</c:v>
                </c:pt>
                <c:pt idx="201">
                  <c:v>20400</c:v>
                </c:pt>
                <c:pt idx="202">
                  <c:v>74300</c:v>
                </c:pt>
                <c:pt idx="203">
                  <c:v>114500</c:v>
                </c:pt>
              </c:numCache>
            </c:numRef>
          </c:yVal>
          <c:smooth val="0"/>
        </c:ser>
        <c:dLbls>
          <c:showLegendKey val="0"/>
          <c:showVal val="0"/>
          <c:showCatName val="0"/>
          <c:showSerName val="0"/>
          <c:showPercent val="0"/>
          <c:showBubbleSize val="0"/>
        </c:dLbls>
        <c:axId val="152926848"/>
        <c:axId val="152933120"/>
      </c:scatterChart>
      <c:valAx>
        <c:axId val="152926848"/>
        <c:scaling>
          <c:orientation val="minMax"/>
        </c:scaling>
        <c:delete val="0"/>
        <c:axPos val="b"/>
        <c:title>
          <c:tx>
            <c:rich>
              <a:bodyPr/>
              <a:lstStyle/>
              <a:p>
                <a:pPr>
                  <a:defRPr/>
                </a:pPr>
                <a:r>
                  <a:rPr lang="en-US"/>
                  <a:t>Education</a:t>
                </a:r>
              </a:p>
            </c:rich>
          </c:tx>
          <c:overlay val="0"/>
        </c:title>
        <c:numFmt formatCode="General" sourceLinked="1"/>
        <c:majorTickMark val="out"/>
        <c:minorTickMark val="none"/>
        <c:tickLblPos val="nextTo"/>
        <c:crossAx val="152933120"/>
        <c:crosses val="autoZero"/>
        <c:crossBetween val="midCat"/>
      </c:valAx>
      <c:valAx>
        <c:axId val="152933120"/>
        <c:scaling>
          <c:orientation val="minMax"/>
        </c:scaling>
        <c:delete val="0"/>
        <c:axPos val="l"/>
        <c:majorGridlines/>
        <c:title>
          <c:tx>
            <c:rich>
              <a:bodyPr rot="-5400000" vert="horz"/>
              <a:lstStyle/>
              <a:p>
                <a:pPr>
                  <a:defRPr/>
                </a:pPr>
                <a:r>
                  <a:rPr lang="en-US"/>
                  <a:t>Annual Salary</a:t>
                </a:r>
              </a:p>
            </c:rich>
          </c:tx>
          <c:overlay val="0"/>
        </c:title>
        <c:numFmt formatCode="General" sourceLinked="1"/>
        <c:majorTickMark val="out"/>
        <c:minorTickMark val="none"/>
        <c:tickLblPos val="nextTo"/>
        <c:crossAx val="152926848"/>
        <c:crosses val="autoZero"/>
        <c:crossBetween val="midCat"/>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[problem 34.xlsx]Sum of Column Percentages!PivotTable1</c:name>
    <c:fmtId val="-1"/>
  </c:pivotSource>
  <c:chart>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s>
    <c:plotArea>
      <c:layout/>
      <c:barChart>
        <c:barDir val="col"/>
        <c:grouping val="clustered"/>
        <c:varyColors val="0"/>
        <c:ser>
          <c:idx val="0"/>
          <c:order val="0"/>
          <c:tx>
            <c:strRef>
              <c:f>'Sum of Column Percentages'!$F$1:$F$2</c:f>
              <c:strCache>
                <c:ptCount val="1"/>
                <c:pt idx="0">
                  <c:v>Agree</c:v>
                </c:pt>
              </c:strCache>
            </c:strRef>
          </c:tx>
          <c:invertIfNegative val="0"/>
          <c:cat>
            <c:strRef>
              <c:f>'Sum of Column Percentages'!$E$3:$E$5</c:f>
              <c:strCache>
                <c:ptCount val="2"/>
                <c:pt idx="0">
                  <c:v>1</c:v>
                </c:pt>
                <c:pt idx="1">
                  <c:v>2</c:v>
                </c:pt>
              </c:strCache>
            </c:strRef>
          </c:cat>
          <c:val>
            <c:numRef>
              <c:f>'Sum of Column Percentages'!$F$3:$F$5</c:f>
              <c:numCache>
                <c:formatCode>0.00%</c:formatCode>
                <c:ptCount val="2"/>
                <c:pt idx="0">
                  <c:v>0.40243902439024393</c:v>
                </c:pt>
                <c:pt idx="1">
                  <c:v>0.59756097560975607</c:v>
                </c:pt>
              </c:numCache>
            </c:numRef>
          </c:val>
        </c:ser>
        <c:ser>
          <c:idx val="1"/>
          <c:order val="1"/>
          <c:tx>
            <c:strRef>
              <c:f>'Sum of Column Percentages'!$G$1:$G$2</c:f>
              <c:strCache>
                <c:ptCount val="1"/>
                <c:pt idx="0">
                  <c:v>Disagree</c:v>
                </c:pt>
              </c:strCache>
            </c:strRef>
          </c:tx>
          <c:invertIfNegative val="0"/>
          <c:cat>
            <c:strRef>
              <c:f>'Sum of Column Percentages'!$E$3:$E$5</c:f>
              <c:strCache>
                <c:ptCount val="2"/>
                <c:pt idx="0">
                  <c:v>1</c:v>
                </c:pt>
                <c:pt idx="1">
                  <c:v>2</c:v>
                </c:pt>
              </c:strCache>
            </c:strRef>
          </c:cat>
          <c:val>
            <c:numRef>
              <c:f>'Sum of Column Percentages'!$G$3:$G$5</c:f>
              <c:numCache>
                <c:formatCode>0.00%</c:formatCode>
                <c:ptCount val="2"/>
                <c:pt idx="0">
                  <c:v>0.4</c:v>
                </c:pt>
                <c:pt idx="1">
                  <c:v>0.6</c:v>
                </c:pt>
              </c:numCache>
            </c:numRef>
          </c:val>
        </c:ser>
        <c:ser>
          <c:idx val="2"/>
          <c:order val="2"/>
          <c:tx>
            <c:strRef>
              <c:f>'Sum of Column Percentages'!$H$1:$H$2</c:f>
              <c:strCache>
                <c:ptCount val="1"/>
                <c:pt idx="0">
                  <c:v>Neutral</c:v>
                </c:pt>
              </c:strCache>
            </c:strRef>
          </c:tx>
          <c:invertIfNegative val="0"/>
          <c:cat>
            <c:strRef>
              <c:f>'Sum of Column Percentages'!$E$3:$E$5</c:f>
              <c:strCache>
                <c:ptCount val="2"/>
                <c:pt idx="0">
                  <c:v>1</c:v>
                </c:pt>
                <c:pt idx="1">
                  <c:v>2</c:v>
                </c:pt>
              </c:strCache>
            </c:strRef>
          </c:cat>
          <c:val>
            <c:numRef>
              <c:f>'Sum of Column Percentages'!$H$3:$H$5</c:f>
              <c:numCache>
                <c:formatCode>0.00%</c:formatCode>
                <c:ptCount val="2"/>
                <c:pt idx="0">
                  <c:v>0.4264705882352941</c:v>
                </c:pt>
                <c:pt idx="1">
                  <c:v>0.57352941176470584</c:v>
                </c:pt>
              </c:numCache>
            </c:numRef>
          </c:val>
        </c:ser>
        <c:ser>
          <c:idx val="3"/>
          <c:order val="3"/>
          <c:tx>
            <c:strRef>
              <c:f>'Sum of Column Percentages'!$I$1:$I$2</c:f>
              <c:strCache>
                <c:ptCount val="1"/>
                <c:pt idx="0">
                  <c:v>Strongly agree</c:v>
                </c:pt>
              </c:strCache>
            </c:strRef>
          </c:tx>
          <c:invertIfNegative val="0"/>
          <c:cat>
            <c:strRef>
              <c:f>'Sum of Column Percentages'!$E$3:$E$5</c:f>
              <c:strCache>
                <c:ptCount val="2"/>
                <c:pt idx="0">
                  <c:v>1</c:v>
                </c:pt>
                <c:pt idx="1">
                  <c:v>2</c:v>
                </c:pt>
              </c:strCache>
            </c:strRef>
          </c:cat>
          <c:val>
            <c:numRef>
              <c:f>'Sum of Column Percentages'!$I$3:$I$5</c:f>
              <c:numCache>
                <c:formatCode>0.00%</c:formatCode>
                <c:ptCount val="2"/>
                <c:pt idx="0">
                  <c:v>0.46511627906976744</c:v>
                </c:pt>
                <c:pt idx="1">
                  <c:v>0.53488372093023251</c:v>
                </c:pt>
              </c:numCache>
            </c:numRef>
          </c:val>
        </c:ser>
        <c:ser>
          <c:idx val="4"/>
          <c:order val="4"/>
          <c:tx>
            <c:strRef>
              <c:f>'Sum of Column Percentages'!$J$1:$J$2</c:f>
              <c:strCache>
                <c:ptCount val="1"/>
                <c:pt idx="0">
                  <c:v>Strongly disagree</c:v>
                </c:pt>
              </c:strCache>
            </c:strRef>
          </c:tx>
          <c:invertIfNegative val="0"/>
          <c:cat>
            <c:strRef>
              <c:f>'Sum of Column Percentages'!$E$3:$E$5</c:f>
              <c:strCache>
                <c:ptCount val="2"/>
                <c:pt idx="0">
                  <c:v>1</c:v>
                </c:pt>
                <c:pt idx="1">
                  <c:v>2</c:v>
                </c:pt>
              </c:strCache>
            </c:strRef>
          </c:cat>
          <c:val>
            <c:numRef>
              <c:f>'Sum of Column Percentages'!$J$3:$J$5</c:f>
              <c:numCache>
                <c:formatCode>0.00%</c:formatCode>
                <c:ptCount val="2"/>
                <c:pt idx="0">
                  <c:v>0.37179487179487181</c:v>
                </c:pt>
                <c:pt idx="1">
                  <c:v>0.62820512820512819</c:v>
                </c:pt>
              </c:numCache>
            </c:numRef>
          </c:val>
        </c:ser>
        <c:dLbls>
          <c:showLegendKey val="0"/>
          <c:showVal val="0"/>
          <c:showCatName val="0"/>
          <c:showSerName val="0"/>
          <c:showPercent val="0"/>
          <c:showBubbleSize val="0"/>
        </c:dLbls>
        <c:gapWidth val="150"/>
        <c:axId val="152948736"/>
        <c:axId val="152950656"/>
      </c:barChart>
      <c:catAx>
        <c:axId val="152948736"/>
        <c:scaling>
          <c:orientation val="minMax"/>
        </c:scaling>
        <c:delete val="0"/>
        <c:axPos val="b"/>
        <c:title>
          <c:tx>
            <c:rich>
              <a:bodyPr/>
              <a:lstStyle/>
              <a:p>
                <a:pPr>
                  <a:defRPr/>
                </a:pPr>
                <a:r>
                  <a:rPr lang="en-US"/>
                  <a:t>Gender</a:t>
                </a:r>
              </a:p>
            </c:rich>
          </c:tx>
          <c:overlay val="0"/>
        </c:title>
        <c:majorTickMark val="out"/>
        <c:minorTickMark val="none"/>
        <c:tickLblPos val="nextTo"/>
        <c:crossAx val="152950656"/>
        <c:crosses val="autoZero"/>
        <c:auto val="1"/>
        <c:lblAlgn val="ctr"/>
        <c:lblOffset val="100"/>
        <c:noMultiLvlLbl val="0"/>
      </c:catAx>
      <c:valAx>
        <c:axId val="152950656"/>
        <c:scaling>
          <c:orientation val="minMax"/>
        </c:scaling>
        <c:delete val="0"/>
        <c:axPos val="l"/>
        <c:majorGridlines/>
        <c:title>
          <c:tx>
            <c:rich>
              <a:bodyPr rot="-5400000" vert="horz"/>
              <a:lstStyle/>
              <a:p>
                <a:pPr>
                  <a:defRPr/>
                </a:pPr>
                <a:r>
                  <a:rPr lang="en-US"/>
                  <a:t>Opinion</a:t>
                </a:r>
              </a:p>
            </c:rich>
          </c:tx>
          <c:overlay val="0"/>
        </c:title>
        <c:numFmt formatCode="0.00%" sourceLinked="1"/>
        <c:majorTickMark val="out"/>
        <c:minorTickMark val="none"/>
        <c:tickLblPos val="nextTo"/>
        <c:crossAx val="152948736"/>
        <c:crosses val="autoZero"/>
        <c:crossBetween val="between"/>
      </c:valAx>
    </c:plotArea>
    <c:legend>
      <c:legendPos val="r"/>
      <c:overlay val="0"/>
    </c:legend>
    <c:plotVisOnly val="1"/>
    <c:dispBlanksAs val="gap"/>
    <c:showDLblsOverMax val="0"/>
  </c:chart>
  <c:externalData r:id="rId1">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[problem 34.xlsx]Sum of Column Percentages!PivotTable2</c:name>
    <c:fmtId val="-1"/>
  </c:pivotSource>
  <c:chart>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s>
    <c:plotArea>
      <c:layout/>
      <c:barChart>
        <c:barDir val="col"/>
        <c:grouping val="clustered"/>
        <c:varyColors val="0"/>
        <c:ser>
          <c:idx val="0"/>
          <c:order val="0"/>
          <c:tx>
            <c:strRef>
              <c:f>'Sum of Column Percentages'!$Q$2:$Q$3</c:f>
              <c:strCache>
                <c:ptCount val="1"/>
                <c:pt idx="0">
                  <c:v>Agree</c:v>
                </c:pt>
              </c:strCache>
            </c:strRef>
          </c:tx>
          <c:invertIfNegative val="0"/>
          <c:cat>
            <c:strRef>
              <c:f>'Sum of Column Percentages'!$P$4:$P$7</c:f>
              <c:strCache>
                <c:ptCount val="3"/>
                <c:pt idx="0">
                  <c:v>Elderly</c:v>
                </c:pt>
                <c:pt idx="1">
                  <c:v>Middle-aged</c:v>
                </c:pt>
                <c:pt idx="2">
                  <c:v>Young</c:v>
                </c:pt>
              </c:strCache>
            </c:strRef>
          </c:cat>
          <c:val>
            <c:numRef>
              <c:f>'Sum of Column Percentages'!$Q$4:$Q$7</c:f>
              <c:numCache>
                <c:formatCode>0.00%</c:formatCode>
                <c:ptCount val="3"/>
                <c:pt idx="0">
                  <c:v>0.21951219512195122</c:v>
                </c:pt>
                <c:pt idx="1">
                  <c:v>0.58536585365853655</c:v>
                </c:pt>
                <c:pt idx="2">
                  <c:v>0.1951219512195122</c:v>
                </c:pt>
              </c:numCache>
            </c:numRef>
          </c:val>
        </c:ser>
        <c:ser>
          <c:idx val="1"/>
          <c:order val="1"/>
          <c:tx>
            <c:strRef>
              <c:f>'Sum of Column Percentages'!$R$2:$R$3</c:f>
              <c:strCache>
                <c:ptCount val="1"/>
                <c:pt idx="0">
                  <c:v>Disagree</c:v>
                </c:pt>
              </c:strCache>
            </c:strRef>
          </c:tx>
          <c:invertIfNegative val="0"/>
          <c:cat>
            <c:strRef>
              <c:f>'Sum of Column Percentages'!$P$4:$P$7</c:f>
              <c:strCache>
                <c:ptCount val="3"/>
                <c:pt idx="0">
                  <c:v>Elderly</c:v>
                </c:pt>
                <c:pt idx="1">
                  <c:v>Middle-aged</c:v>
                </c:pt>
                <c:pt idx="2">
                  <c:v>Young</c:v>
                </c:pt>
              </c:strCache>
            </c:strRef>
          </c:cat>
          <c:val>
            <c:numRef>
              <c:f>'Sum of Column Percentages'!$R$4:$R$7</c:f>
              <c:numCache>
                <c:formatCode>0.00%</c:formatCode>
                <c:ptCount val="3"/>
                <c:pt idx="0">
                  <c:v>0.24705882352941178</c:v>
                </c:pt>
                <c:pt idx="1">
                  <c:v>0.52941176470588236</c:v>
                </c:pt>
                <c:pt idx="2">
                  <c:v>0.22352941176470589</c:v>
                </c:pt>
              </c:numCache>
            </c:numRef>
          </c:val>
        </c:ser>
        <c:ser>
          <c:idx val="2"/>
          <c:order val="2"/>
          <c:tx>
            <c:strRef>
              <c:f>'Sum of Column Percentages'!$S$2:$S$3</c:f>
              <c:strCache>
                <c:ptCount val="1"/>
                <c:pt idx="0">
                  <c:v>Neutral</c:v>
                </c:pt>
              </c:strCache>
            </c:strRef>
          </c:tx>
          <c:invertIfNegative val="0"/>
          <c:cat>
            <c:strRef>
              <c:f>'Sum of Column Percentages'!$P$4:$P$7</c:f>
              <c:strCache>
                <c:ptCount val="3"/>
                <c:pt idx="0">
                  <c:v>Elderly</c:v>
                </c:pt>
                <c:pt idx="1">
                  <c:v>Middle-aged</c:v>
                </c:pt>
                <c:pt idx="2">
                  <c:v>Young</c:v>
                </c:pt>
              </c:strCache>
            </c:strRef>
          </c:cat>
          <c:val>
            <c:numRef>
              <c:f>'Sum of Column Percentages'!$S$4:$S$7</c:f>
              <c:numCache>
                <c:formatCode>0.00%</c:formatCode>
                <c:ptCount val="3"/>
                <c:pt idx="0">
                  <c:v>0.22058823529411764</c:v>
                </c:pt>
                <c:pt idx="1">
                  <c:v>0.55882352941176472</c:v>
                </c:pt>
                <c:pt idx="2">
                  <c:v>0.22058823529411764</c:v>
                </c:pt>
              </c:numCache>
            </c:numRef>
          </c:val>
        </c:ser>
        <c:ser>
          <c:idx val="3"/>
          <c:order val="3"/>
          <c:tx>
            <c:strRef>
              <c:f>'Sum of Column Percentages'!$T$2:$T$3</c:f>
              <c:strCache>
                <c:ptCount val="1"/>
                <c:pt idx="0">
                  <c:v>Strongly agree</c:v>
                </c:pt>
              </c:strCache>
            </c:strRef>
          </c:tx>
          <c:invertIfNegative val="0"/>
          <c:cat>
            <c:strRef>
              <c:f>'Sum of Column Percentages'!$P$4:$P$7</c:f>
              <c:strCache>
                <c:ptCount val="3"/>
                <c:pt idx="0">
                  <c:v>Elderly</c:v>
                </c:pt>
                <c:pt idx="1">
                  <c:v>Middle-aged</c:v>
                </c:pt>
                <c:pt idx="2">
                  <c:v>Young</c:v>
                </c:pt>
              </c:strCache>
            </c:strRef>
          </c:cat>
          <c:val>
            <c:numRef>
              <c:f>'Sum of Column Percentages'!$T$4:$T$7</c:f>
              <c:numCache>
                <c:formatCode>0.00%</c:formatCode>
                <c:ptCount val="3"/>
                <c:pt idx="0">
                  <c:v>0.23255813953488372</c:v>
                </c:pt>
                <c:pt idx="1">
                  <c:v>0.55813953488372092</c:v>
                </c:pt>
                <c:pt idx="2">
                  <c:v>0.20930232558139536</c:v>
                </c:pt>
              </c:numCache>
            </c:numRef>
          </c:val>
        </c:ser>
        <c:ser>
          <c:idx val="4"/>
          <c:order val="4"/>
          <c:tx>
            <c:strRef>
              <c:f>'Sum of Column Percentages'!$U$2:$U$3</c:f>
              <c:strCache>
                <c:ptCount val="1"/>
                <c:pt idx="0">
                  <c:v>Strongly disagree</c:v>
                </c:pt>
              </c:strCache>
            </c:strRef>
          </c:tx>
          <c:invertIfNegative val="0"/>
          <c:cat>
            <c:strRef>
              <c:f>'Sum of Column Percentages'!$P$4:$P$7</c:f>
              <c:strCache>
                <c:ptCount val="3"/>
                <c:pt idx="0">
                  <c:v>Elderly</c:v>
                </c:pt>
                <c:pt idx="1">
                  <c:v>Middle-aged</c:v>
                </c:pt>
                <c:pt idx="2">
                  <c:v>Young</c:v>
                </c:pt>
              </c:strCache>
            </c:strRef>
          </c:cat>
          <c:val>
            <c:numRef>
              <c:f>'Sum of Column Percentages'!$U$4:$U$7</c:f>
              <c:numCache>
                <c:formatCode>0.00%</c:formatCode>
                <c:ptCount val="3"/>
                <c:pt idx="0">
                  <c:v>0.25641025641025639</c:v>
                </c:pt>
                <c:pt idx="1">
                  <c:v>0.5</c:v>
                </c:pt>
                <c:pt idx="2">
                  <c:v>0.24358974358974358</c:v>
                </c:pt>
              </c:numCache>
            </c:numRef>
          </c:val>
        </c:ser>
        <c:dLbls>
          <c:showLegendKey val="0"/>
          <c:showVal val="0"/>
          <c:showCatName val="0"/>
          <c:showSerName val="0"/>
          <c:showPercent val="0"/>
          <c:showBubbleSize val="0"/>
        </c:dLbls>
        <c:gapWidth val="150"/>
        <c:axId val="153056384"/>
        <c:axId val="153058304"/>
      </c:barChart>
      <c:catAx>
        <c:axId val="153056384"/>
        <c:scaling>
          <c:orientation val="minMax"/>
        </c:scaling>
        <c:delete val="0"/>
        <c:axPos val="b"/>
        <c:title>
          <c:tx>
            <c:rich>
              <a:bodyPr/>
              <a:lstStyle/>
              <a:p>
                <a:pPr>
                  <a:defRPr/>
                </a:pPr>
                <a:r>
                  <a:rPr lang="en-US"/>
                  <a:t>Age</a:t>
                </a:r>
              </a:p>
            </c:rich>
          </c:tx>
          <c:overlay val="0"/>
        </c:title>
        <c:majorTickMark val="out"/>
        <c:minorTickMark val="none"/>
        <c:tickLblPos val="nextTo"/>
        <c:crossAx val="153058304"/>
        <c:crosses val="autoZero"/>
        <c:auto val="1"/>
        <c:lblAlgn val="ctr"/>
        <c:lblOffset val="100"/>
        <c:noMultiLvlLbl val="0"/>
      </c:catAx>
      <c:valAx>
        <c:axId val="153058304"/>
        <c:scaling>
          <c:orientation val="minMax"/>
        </c:scaling>
        <c:delete val="0"/>
        <c:axPos val="l"/>
        <c:majorGridlines/>
        <c:title>
          <c:tx>
            <c:rich>
              <a:bodyPr rot="-5400000" vert="horz"/>
              <a:lstStyle/>
              <a:p>
                <a:pPr>
                  <a:defRPr/>
                </a:pPr>
                <a:r>
                  <a:rPr lang="en-US"/>
                  <a:t>Opinion</a:t>
                </a:r>
              </a:p>
            </c:rich>
          </c:tx>
          <c:overlay val="0"/>
        </c:title>
        <c:numFmt formatCode="0.00%" sourceLinked="1"/>
        <c:majorTickMark val="out"/>
        <c:minorTickMark val="none"/>
        <c:tickLblPos val="nextTo"/>
        <c:crossAx val="153056384"/>
        <c:crosses val="autoZero"/>
        <c:crossBetween val="between"/>
      </c:valAx>
    </c:plotArea>
    <c:legend>
      <c:legendPos val="r"/>
      <c:overlay val="0"/>
    </c:legend>
    <c:plotVisOnly val="1"/>
    <c:dispBlanksAs val="gap"/>
    <c:showDLblsOverMax val="0"/>
  </c:chart>
  <c:externalData r:id="rId1">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[problem 34.xlsx]Sum of Column Percentages!PivotTable3</c:name>
    <c:fmtId val="-1"/>
  </c:pivotSource>
  <c:chart>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marker>
          <c:symbol val="none"/>
        </c:marker>
      </c:pivotFmt>
      <c:pivotFmt>
        <c:idx val="20"/>
        <c:marker>
          <c:symbol val="none"/>
        </c:marker>
      </c:pivotFmt>
      <c:pivotFmt>
        <c:idx val="21"/>
        <c:marker>
          <c:symbol val="none"/>
        </c:marker>
      </c:pivotFmt>
      <c:pivotFmt>
        <c:idx val="22"/>
        <c:marker>
          <c:symbol val="none"/>
        </c:marker>
      </c:pivotFmt>
      <c:pivotFmt>
        <c:idx val="23"/>
        <c:marker>
          <c:symbol val="none"/>
        </c:marker>
      </c:pivotFmt>
      <c:pivotFmt>
        <c:idx val="24"/>
        <c:marker>
          <c:symbol val="none"/>
        </c:marker>
      </c:pivotFmt>
    </c:pivotFmts>
    <c:plotArea>
      <c:layout/>
      <c:barChart>
        <c:barDir val="col"/>
        <c:grouping val="clustered"/>
        <c:varyColors val="0"/>
        <c:ser>
          <c:idx val="0"/>
          <c:order val="0"/>
          <c:tx>
            <c:strRef>
              <c:f>'Sum of Column Percentages'!$AF$4:$AF$5</c:f>
              <c:strCache>
                <c:ptCount val="1"/>
                <c:pt idx="0">
                  <c:v>Agree</c:v>
                </c:pt>
              </c:strCache>
            </c:strRef>
          </c:tx>
          <c:invertIfNegative val="0"/>
          <c:cat>
            <c:strRef>
              <c:f>'Sum of Column Percentages'!$AE$6:$AE$10</c:f>
              <c:strCache>
                <c:ptCount val="4"/>
                <c:pt idx="0">
                  <c:v>Between 40k and &amp;70k</c:v>
                </c:pt>
                <c:pt idx="1">
                  <c:v>Between 70k and 100k</c:v>
                </c:pt>
                <c:pt idx="2">
                  <c:v>Greater than 100k</c:v>
                </c:pt>
                <c:pt idx="3">
                  <c:v>Less tha 40k</c:v>
                </c:pt>
              </c:strCache>
            </c:strRef>
          </c:cat>
          <c:val>
            <c:numRef>
              <c:f>'Sum of Column Percentages'!$AF$6:$AF$10</c:f>
              <c:numCache>
                <c:formatCode>0.00%</c:formatCode>
                <c:ptCount val="4"/>
                <c:pt idx="0">
                  <c:v>0.25609756097560976</c:v>
                </c:pt>
                <c:pt idx="1">
                  <c:v>0.48780487804878048</c:v>
                </c:pt>
                <c:pt idx="2">
                  <c:v>0.21951219512195122</c:v>
                </c:pt>
                <c:pt idx="3">
                  <c:v>3.6585365853658534E-2</c:v>
                </c:pt>
              </c:numCache>
            </c:numRef>
          </c:val>
        </c:ser>
        <c:ser>
          <c:idx val="1"/>
          <c:order val="1"/>
          <c:tx>
            <c:strRef>
              <c:f>'Sum of Column Percentages'!$AG$4:$AG$5</c:f>
              <c:strCache>
                <c:ptCount val="1"/>
                <c:pt idx="0">
                  <c:v>Disagree</c:v>
                </c:pt>
              </c:strCache>
            </c:strRef>
          </c:tx>
          <c:invertIfNegative val="0"/>
          <c:cat>
            <c:strRef>
              <c:f>'Sum of Column Percentages'!$AE$6:$AE$10</c:f>
              <c:strCache>
                <c:ptCount val="4"/>
                <c:pt idx="0">
                  <c:v>Between 40k and &amp;70k</c:v>
                </c:pt>
                <c:pt idx="1">
                  <c:v>Between 70k and 100k</c:v>
                </c:pt>
                <c:pt idx="2">
                  <c:v>Greater than 100k</c:v>
                </c:pt>
                <c:pt idx="3">
                  <c:v>Less tha 40k</c:v>
                </c:pt>
              </c:strCache>
            </c:strRef>
          </c:cat>
          <c:val>
            <c:numRef>
              <c:f>'Sum of Column Percentages'!$AG$6:$AG$10</c:f>
              <c:numCache>
                <c:formatCode>0.00%</c:formatCode>
                <c:ptCount val="4"/>
                <c:pt idx="0">
                  <c:v>0.35294117647058826</c:v>
                </c:pt>
                <c:pt idx="1">
                  <c:v>0.37647058823529411</c:v>
                </c:pt>
                <c:pt idx="2">
                  <c:v>0.2</c:v>
                </c:pt>
                <c:pt idx="3">
                  <c:v>7.0588235294117646E-2</c:v>
                </c:pt>
              </c:numCache>
            </c:numRef>
          </c:val>
        </c:ser>
        <c:ser>
          <c:idx val="2"/>
          <c:order val="2"/>
          <c:tx>
            <c:strRef>
              <c:f>'Sum of Column Percentages'!$AH$4:$AH$5</c:f>
              <c:strCache>
                <c:ptCount val="1"/>
                <c:pt idx="0">
                  <c:v>Neutral</c:v>
                </c:pt>
              </c:strCache>
            </c:strRef>
          </c:tx>
          <c:invertIfNegative val="0"/>
          <c:cat>
            <c:strRef>
              <c:f>'Sum of Column Percentages'!$AE$6:$AE$10</c:f>
              <c:strCache>
                <c:ptCount val="4"/>
                <c:pt idx="0">
                  <c:v>Between 40k and &amp;70k</c:v>
                </c:pt>
                <c:pt idx="1">
                  <c:v>Between 70k and 100k</c:v>
                </c:pt>
                <c:pt idx="2">
                  <c:v>Greater than 100k</c:v>
                </c:pt>
                <c:pt idx="3">
                  <c:v>Less tha 40k</c:v>
                </c:pt>
              </c:strCache>
            </c:strRef>
          </c:cat>
          <c:val>
            <c:numRef>
              <c:f>'Sum of Column Percentages'!$AH$6:$AH$10</c:f>
              <c:numCache>
                <c:formatCode>0.00%</c:formatCode>
                <c:ptCount val="4"/>
                <c:pt idx="0">
                  <c:v>0.29411764705882354</c:v>
                </c:pt>
                <c:pt idx="1">
                  <c:v>0.44117647058823528</c:v>
                </c:pt>
                <c:pt idx="2">
                  <c:v>0.19117647058823528</c:v>
                </c:pt>
                <c:pt idx="3">
                  <c:v>7.3529411764705885E-2</c:v>
                </c:pt>
              </c:numCache>
            </c:numRef>
          </c:val>
        </c:ser>
        <c:ser>
          <c:idx val="3"/>
          <c:order val="3"/>
          <c:tx>
            <c:strRef>
              <c:f>'Sum of Column Percentages'!$AI$4:$AI$5</c:f>
              <c:strCache>
                <c:ptCount val="1"/>
                <c:pt idx="0">
                  <c:v>Strongly agree</c:v>
                </c:pt>
              </c:strCache>
            </c:strRef>
          </c:tx>
          <c:invertIfNegative val="0"/>
          <c:cat>
            <c:strRef>
              <c:f>'Sum of Column Percentages'!$AE$6:$AE$10</c:f>
              <c:strCache>
                <c:ptCount val="4"/>
                <c:pt idx="0">
                  <c:v>Between 40k and &amp;70k</c:v>
                </c:pt>
                <c:pt idx="1">
                  <c:v>Between 70k and 100k</c:v>
                </c:pt>
                <c:pt idx="2">
                  <c:v>Greater than 100k</c:v>
                </c:pt>
                <c:pt idx="3">
                  <c:v>Less tha 40k</c:v>
                </c:pt>
              </c:strCache>
            </c:strRef>
          </c:cat>
          <c:val>
            <c:numRef>
              <c:f>'Sum of Column Percentages'!$AI$6:$AI$10</c:f>
              <c:numCache>
                <c:formatCode>0.00%</c:formatCode>
                <c:ptCount val="4"/>
                <c:pt idx="0">
                  <c:v>0.29069767441860467</c:v>
                </c:pt>
                <c:pt idx="1">
                  <c:v>0.39534883720930231</c:v>
                </c:pt>
                <c:pt idx="2">
                  <c:v>0.22093023255813954</c:v>
                </c:pt>
                <c:pt idx="3">
                  <c:v>9.3023255813953487E-2</c:v>
                </c:pt>
              </c:numCache>
            </c:numRef>
          </c:val>
        </c:ser>
        <c:ser>
          <c:idx val="4"/>
          <c:order val="4"/>
          <c:tx>
            <c:strRef>
              <c:f>'Sum of Column Percentages'!$AJ$4:$AJ$5</c:f>
              <c:strCache>
                <c:ptCount val="1"/>
                <c:pt idx="0">
                  <c:v>Strongly disagree</c:v>
                </c:pt>
              </c:strCache>
            </c:strRef>
          </c:tx>
          <c:invertIfNegative val="0"/>
          <c:cat>
            <c:strRef>
              <c:f>'Sum of Column Percentages'!$AE$6:$AE$10</c:f>
              <c:strCache>
                <c:ptCount val="4"/>
                <c:pt idx="0">
                  <c:v>Between 40k and &amp;70k</c:v>
                </c:pt>
                <c:pt idx="1">
                  <c:v>Between 70k and 100k</c:v>
                </c:pt>
                <c:pt idx="2">
                  <c:v>Greater than 100k</c:v>
                </c:pt>
                <c:pt idx="3">
                  <c:v>Less tha 40k</c:v>
                </c:pt>
              </c:strCache>
            </c:strRef>
          </c:cat>
          <c:val>
            <c:numRef>
              <c:f>'Sum of Column Percentages'!$AJ$6:$AJ$10</c:f>
              <c:numCache>
                <c:formatCode>0.00%</c:formatCode>
                <c:ptCount val="4"/>
                <c:pt idx="0">
                  <c:v>0.29487179487179488</c:v>
                </c:pt>
                <c:pt idx="1">
                  <c:v>0.42307692307692307</c:v>
                </c:pt>
                <c:pt idx="2">
                  <c:v>0.23076923076923078</c:v>
                </c:pt>
                <c:pt idx="3">
                  <c:v>5.128205128205128E-2</c:v>
                </c:pt>
              </c:numCache>
            </c:numRef>
          </c:val>
        </c:ser>
        <c:dLbls>
          <c:showLegendKey val="0"/>
          <c:showVal val="0"/>
          <c:showCatName val="0"/>
          <c:showSerName val="0"/>
          <c:showPercent val="0"/>
          <c:showBubbleSize val="0"/>
        </c:dLbls>
        <c:gapWidth val="150"/>
        <c:axId val="153102592"/>
        <c:axId val="153108864"/>
      </c:barChart>
      <c:catAx>
        <c:axId val="153102592"/>
        <c:scaling>
          <c:orientation val="minMax"/>
        </c:scaling>
        <c:delete val="0"/>
        <c:axPos val="b"/>
        <c:title>
          <c:tx>
            <c:rich>
              <a:bodyPr/>
              <a:lstStyle/>
              <a:p>
                <a:pPr>
                  <a:defRPr/>
                </a:pPr>
                <a:r>
                  <a:rPr lang="en-US"/>
                  <a:t>Salary</a:t>
                </a:r>
              </a:p>
            </c:rich>
          </c:tx>
          <c:overlay val="0"/>
        </c:title>
        <c:majorTickMark val="out"/>
        <c:minorTickMark val="none"/>
        <c:tickLblPos val="nextTo"/>
        <c:crossAx val="153108864"/>
        <c:crosses val="autoZero"/>
        <c:auto val="1"/>
        <c:lblAlgn val="ctr"/>
        <c:lblOffset val="100"/>
        <c:noMultiLvlLbl val="0"/>
      </c:catAx>
      <c:valAx>
        <c:axId val="153108864"/>
        <c:scaling>
          <c:orientation val="minMax"/>
        </c:scaling>
        <c:delete val="0"/>
        <c:axPos val="l"/>
        <c:majorGridlines/>
        <c:title>
          <c:tx>
            <c:rich>
              <a:bodyPr rot="-5400000" vert="horz"/>
              <a:lstStyle/>
              <a:p>
                <a:pPr>
                  <a:defRPr/>
                </a:pPr>
                <a:r>
                  <a:rPr lang="en-US"/>
                  <a:t>Opinion</a:t>
                </a:r>
              </a:p>
            </c:rich>
          </c:tx>
          <c:overlay val="0"/>
        </c:title>
        <c:numFmt formatCode="0.00%" sourceLinked="1"/>
        <c:majorTickMark val="out"/>
        <c:minorTickMark val="none"/>
        <c:tickLblPos val="nextTo"/>
        <c:crossAx val="153102592"/>
        <c:crosses val="autoZero"/>
        <c:crossBetween val="between"/>
      </c:valAx>
    </c:plotArea>
    <c:legend>
      <c:legendPos val="r"/>
      <c:overlay val="0"/>
    </c:legend>
    <c:plotVisOnly val="1"/>
    <c:dispBlanksAs val="gap"/>
    <c:showDLblsOverMax val="0"/>
  </c:chart>
  <c:externalData r:id="rId1">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s>
    <c:plotArea>
      <c:layout/>
      <c:barChart>
        <c:barDir val="col"/>
        <c:grouping val="clustered"/>
        <c:varyColors val="0"/>
        <c:ser>
          <c:idx val="0"/>
          <c:order val="0"/>
          <c:tx>
            <c:v>Agree</c:v>
          </c:tx>
          <c:invertIfNegative val="0"/>
          <c:cat>
            <c:strLit>
              <c:ptCount val="4"/>
              <c:pt idx="0">
                <c:v>Between 40k and &amp;70k</c:v>
              </c:pt>
              <c:pt idx="1">
                <c:v>Between 70k and 100k</c:v>
              </c:pt>
              <c:pt idx="2">
                <c:v>Greater than 100k</c:v>
              </c:pt>
              <c:pt idx="3">
                <c:v>Less tha 40k</c:v>
              </c:pt>
            </c:strLit>
          </c:cat>
          <c:val>
            <c:numLit>
              <c:formatCode>General</c:formatCode>
              <c:ptCount val="4"/>
              <c:pt idx="0">
                <c:v>0.17647058823529413</c:v>
              </c:pt>
              <c:pt idx="1">
                <c:v>0.23668639053254437</c:v>
              </c:pt>
              <c:pt idx="2">
                <c:v>0.21176470588235294</c:v>
              </c:pt>
              <c:pt idx="3">
                <c:v>0.11538461538461539</c:v>
              </c:pt>
            </c:numLit>
          </c:val>
        </c:ser>
        <c:ser>
          <c:idx val="1"/>
          <c:order val="1"/>
          <c:tx>
            <c:v>Disagree</c:v>
          </c:tx>
          <c:invertIfNegative val="0"/>
          <c:cat>
            <c:strLit>
              <c:ptCount val="4"/>
              <c:pt idx="0">
                <c:v>Between 40k and &amp;70k</c:v>
              </c:pt>
              <c:pt idx="1">
                <c:v>Between 70k and 100k</c:v>
              </c:pt>
              <c:pt idx="2">
                <c:v>Greater than 100k</c:v>
              </c:pt>
              <c:pt idx="3">
                <c:v>Less tha 40k</c:v>
              </c:pt>
            </c:strLit>
          </c:cat>
          <c:val>
            <c:numLit>
              <c:formatCode>General</c:formatCode>
              <c:ptCount val="4"/>
              <c:pt idx="0">
                <c:v>0.25210084033613445</c:v>
              </c:pt>
              <c:pt idx="1">
                <c:v>0.1893491124260355</c:v>
              </c:pt>
              <c:pt idx="2">
                <c:v>0.2</c:v>
              </c:pt>
              <c:pt idx="3">
                <c:v>0.23076923076923078</c:v>
              </c:pt>
            </c:numLit>
          </c:val>
        </c:ser>
        <c:ser>
          <c:idx val="2"/>
          <c:order val="2"/>
          <c:tx>
            <c:v>Neutral</c:v>
          </c:tx>
          <c:invertIfNegative val="0"/>
          <c:cat>
            <c:strLit>
              <c:ptCount val="4"/>
              <c:pt idx="0">
                <c:v>Between 40k and &amp;70k</c:v>
              </c:pt>
              <c:pt idx="1">
                <c:v>Between 70k and 100k</c:v>
              </c:pt>
              <c:pt idx="2">
                <c:v>Greater than 100k</c:v>
              </c:pt>
              <c:pt idx="3">
                <c:v>Less tha 40k</c:v>
              </c:pt>
            </c:strLit>
          </c:cat>
          <c:val>
            <c:numLit>
              <c:formatCode>General</c:formatCode>
              <c:ptCount val="4"/>
              <c:pt idx="0">
                <c:v>0.16806722689075632</c:v>
              </c:pt>
              <c:pt idx="1">
                <c:v>0.17751479289940827</c:v>
              </c:pt>
              <c:pt idx="2">
                <c:v>0.15294117647058825</c:v>
              </c:pt>
              <c:pt idx="3">
                <c:v>0.19230769230769232</c:v>
              </c:pt>
            </c:numLit>
          </c:val>
        </c:ser>
        <c:ser>
          <c:idx val="3"/>
          <c:order val="3"/>
          <c:tx>
            <c:v>Strongly agree</c:v>
          </c:tx>
          <c:invertIfNegative val="0"/>
          <c:cat>
            <c:strLit>
              <c:ptCount val="4"/>
              <c:pt idx="0">
                <c:v>Between 40k and &amp;70k</c:v>
              </c:pt>
              <c:pt idx="1">
                <c:v>Between 70k and 100k</c:v>
              </c:pt>
              <c:pt idx="2">
                <c:v>Greater than 100k</c:v>
              </c:pt>
              <c:pt idx="3">
                <c:v>Less tha 40k</c:v>
              </c:pt>
            </c:strLit>
          </c:cat>
          <c:val>
            <c:numLit>
              <c:formatCode>General</c:formatCode>
              <c:ptCount val="4"/>
              <c:pt idx="0">
                <c:v>0.21008403361344538</c:v>
              </c:pt>
              <c:pt idx="1">
                <c:v>0.20118343195266272</c:v>
              </c:pt>
              <c:pt idx="2">
                <c:v>0.22352941176470589</c:v>
              </c:pt>
              <c:pt idx="3">
                <c:v>0.30769230769230771</c:v>
              </c:pt>
            </c:numLit>
          </c:val>
        </c:ser>
        <c:ser>
          <c:idx val="4"/>
          <c:order val="4"/>
          <c:tx>
            <c:v>Strongly disagree</c:v>
          </c:tx>
          <c:invertIfNegative val="0"/>
          <c:cat>
            <c:strLit>
              <c:ptCount val="4"/>
              <c:pt idx="0">
                <c:v>Between 40k and &amp;70k</c:v>
              </c:pt>
              <c:pt idx="1">
                <c:v>Between 70k and 100k</c:v>
              </c:pt>
              <c:pt idx="2">
                <c:v>Greater than 100k</c:v>
              </c:pt>
              <c:pt idx="3">
                <c:v>Less tha 40k</c:v>
              </c:pt>
            </c:strLit>
          </c:cat>
          <c:val>
            <c:numLit>
              <c:formatCode>General</c:formatCode>
              <c:ptCount val="4"/>
              <c:pt idx="0">
                <c:v>0.19327731092436976</c:v>
              </c:pt>
              <c:pt idx="1">
                <c:v>0.19526627218934911</c:v>
              </c:pt>
              <c:pt idx="2">
                <c:v>0.21176470588235294</c:v>
              </c:pt>
              <c:pt idx="3">
                <c:v>0.15384615384615385</c:v>
              </c:pt>
            </c:numLit>
          </c:val>
        </c:ser>
        <c:dLbls>
          <c:showLegendKey val="0"/>
          <c:showVal val="0"/>
          <c:showCatName val="0"/>
          <c:showSerName val="0"/>
          <c:showPercent val="0"/>
          <c:showBubbleSize val="0"/>
        </c:dLbls>
        <c:gapWidth val="150"/>
        <c:axId val="153136512"/>
        <c:axId val="153150976"/>
      </c:barChart>
      <c:catAx>
        <c:axId val="153136512"/>
        <c:scaling>
          <c:orientation val="minMax"/>
        </c:scaling>
        <c:delete val="0"/>
        <c:axPos val="b"/>
        <c:title>
          <c:tx>
            <c:rich>
              <a:bodyPr/>
              <a:lstStyle/>
              <a:p>
                <a:pPr>
                  <a:defRPr/>
                </a:pPr>
                <a:r>
                  <a:rPr lang="en-US"/>
                  <a:t>Salary</a:t>
                </a:r>
              </a:p>
            </c:rich>
          </c:tx>
          <c:overlay val="0"/>
        </c:title>
        <c:majorTickMark val="out"/>
        <c:minorTickMark val="none"/>
        <c:tickLblPos val="nextTo"/>
        <c:crossAx val="153150976"/>
        <c:crosses val="autoZero"/>
        <c:auto val="1"/>
        <c:lblAlgn val="ctr"/>
        <c:lblOffset val="100"/>
        <c:noMultiLvlLbl val="0"/>
      </c:catAx>
      <c:valAx>
        <c:axId val="153150976"/>
        <c:scaling>
          <c:orientation val="minMax"/>
        </c:scaling>
        <c:delete val="0"/>
        <c:axPos val="l"/>
        <c:majorGridlines/>
        <c:title>
          <c:tx>
            <c:rich>
              <a:bodyPr rot="-5400000" vert="horz"/>
              <a:lstStyle/>
              <a:p>
                <a:pPr>
                  <a:defRPr/>
                </a:pPr>
                <a:r>
                  <a:rPr lang="en-US"/>
                  <a:t>Opinion</a:t>
                </a:r>
              </a:p>
            </c:rich>
          </c:tx>
          <c:overlay val="0"/>
        </c:title>
        <c:numFmt formatCode="General" sourceLinked="1"/>
        <c:majorTickMark val="out"/>
        <c:minorTickMark val="none"/>
        <c:tickLblPos val="nextTo"/>
        <c:crossAx val="153136512"/>
        <c:crosses val="autoZero"/>
        <c:crossBetween val="between"/>
      </c:valAx>
    </c:plotArea>
    <c:legend>
      <c:legendPos val="r"/>
      <c:overlay val="0"/>
    </c:legend>
    <c:plotVisOnly val="1"/>
    <c:dispBlanksAs val="gap"/>
    <c:showDLblsOverMax val="0"/>
  </c:chart>
  <c:externalData r:id="rId1">
    <c:autoUpdate val="0"/>
  </c:externalData>
  <c:extLst/>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s>
    <c:plotArea>
      <c:layout/>
      <c:barChart>
        <c:barDir val="col"/>
        <c:grouping val="clustered"/>
        <c:varyColors val="0"/>
        <c:ser>
          <c:idx val="0"/>
          <c:order val="0"/>
          <c:tx>
            <c:v>Agree</c:v>
          </c:tx>
          <c:invertIfNegative val="0"/>
          <c:cat>
            <c:strLit>
              <c:ptCount val="3"/>
              <c:pt idx="0">
                <c:v>Elderly</c:v>
              </c:pt>
              <c:pt idx="1">
                <c:v>Middle-aged</c:v>
              </c:pt>
              <c:pt idx="2">
                <c:v>Young</c:v>
              </c:pt>
            </c:strLit>
          </c:cat>
          <c:val>
            <c:numLit>
              <c:formatCode>General</c:formatCode>
              <c:ptCount val="3"/>
              <c:pt idx="0">
                <c:v>0.19148936170212766</c:v>
              </c:pt>
              <c:pt idx="1">
                <c:v>0.22018348623853212</c:v>
              </c:pt>
              <c:pt idx="2">
                <c:v>0.18390804597701149</c:v>
              </c:pt>
            </c:numLit>
          </c:val>
        </c:ser>
        <c:ser>
          <c:idx val="1"/>
          <c:order val="1"/>
          <c:tx>
            <c:v>Disagree</c:v>
          </c:tx>
          <c:invertIfNegative val="0"/>
          <c:cat>
            <c:strLit>
              <c:ptCount val="3"/>
              <c:pt idx="0">
                <c:v>Elderly</c:v>
              </c:pt>
              <c:pt idx="1">
                <c:v>Middle-aged</c:v>
              </c:pt>
              <c:pt idx="2">
                <c:v>Young</c:v>
              </c:pt>
            </c:strLit>
          </c:cat>
          <c:val>
            <c:numLit>
              <c:formatCode>General</c:formatCode>
              <c:ptCount val="3"/>
              <c:pt idx="0">
                <c:v>0.22340425531914893</c:v>
              </c:pt>
              <c:pt idx="1">
                <c:v>0.20642201834862386</c:v>
              </c:pt>
              <c:pt idx="2">
                <c:v>0.21839080459770116</c:v>
              </c:pt>
            </c:numLit>
          </c:val>
        </c:ser>
        <c:ser>
          <c:idx val="2"/>
          <c:order val="2"/>
          <c:tx>
            <c:v>Neutral</c:v>
          </c:tx>
          <c:invertIfNegative val="0"/>
          <c:cat>
            <c:strLit>
              <c:ptCount val="3"/>
              <c:pt idx="0">
                <c:v>Elderly</c:v>
              </c:pt>
              <c:pt idx="1">
                <c:v>Middle-aged</c:v>
              </c:pt>
              <c:pt idx="2">
                <c:v>Young</c:v>
              </c:pt>
            </c:strLit>
          </c:cat>
          <c:val>
            <c:numLit>
              <c:formatCode>General</c:formatCode>
              <c:ptCount val="3"/>
              <c:pt idx="0">
                <c:v>0.15957446808510639</c:v>
              </c:pt>
              <c:pt idx="1">
                <c:v>0.1743119266055046</c:v>
              </c:pt>
              <c:pt idx="2">
                <c:v>0.17241379310344829</c:v>
              </c:pt>
            </c:numLit>
          </c:val>
        </c:ser>
        <c:ser>
          <c:idx val="3"/>
          <c:order val="3"/>
          <c:tx>
            <c:v>Strongly agree</c:v>
          </c:tx>
          <c:invertIfNegative val="0"/>
          <c:cat>
            <c:strLit>
              <c:ptCount val="3"/>
              <c:pt idx="0">
                <c:v>Elderly</c:v>
              </c:pt>
              <c:pt idx="1">
                <c:v>Middle-aged</c:v>
              </c:pt>
              <c:pt idx="2">
                <c:v>Young</c:v>
              </c:pt>
            </c:strLit>
          </c:cat>
          <c:val>
            <c:numLit>
              <c:formatCode>General</c:formatCode>
              <c:ptCount val="3"/>
              <c:pt idx="0">
                <c:v>0.21276595744680851</c:v>
              </c:pt>
              <c:pt idx="1">
                <c:v>0.22018348623853212</c:v>
              </c:pt>
              <c:pt idx="2">
                <c:v>0.20689655172413793</c:v>
              </c:pt>
            </c:numLit>
          </c:val>
        </c:ser>
        <c:ser>
          <c:idx val="4"/>
          <c:order val="4"/>
          <c:tx>
            <c:v>Strongly disagree</c:v>
          </c:tx>
          <c:invertIfNegative val="0"/>
          <c:cat>
            <c:strLit>
              <c:ptCount val="3"/>
              <c:pt idx="0">
                <c:v>Elderly</c:v>
              </c:pt>
              <c:pt idx="1">
                <c:v>Middle-aged</c:v>
              </c:pt>
              <c:pt idx="2">
                <c:v>Young</c:v>
              </c:pt>
            </c:strLit>
          </c:cat>
          <c:val>
            <c:numLit>
              <c:formatCode>General</c:formatCode>
              <c:ptCount val="3"/>
              <c:pt idx="0">
                <c:v>0.21276595744680851</c:v>
              </c:pt>
              <c:pt idx="1">
                <c:v>0.17889908256880735</c:v>
              </c:pt>
              <c:pt idx="2">
                <c:v>0.21839080459770116</c:v>
              </c:pt>
            </c:numLit>
          </c:val>
        </c:ser>
        <c:dLbls>
          <c:showLegendKey val="0"/>
          <c:showVal val="0"/>
          <c:showCatName val="0"/>
          <c:showSerName val="0"/>
          <c:showPercent val="0"/>
          <c:showBubbleSize val="0"/>
        </c:dLbls>
        <c:gapWidth val="150"/>
        <c:axId val="153187456"/>
        <c:axId val="153189376"/>
      </c:barChart>
      <c:catAx>
        <c:axId val="153187456"/>
        <c:scaling>
          <c:orientation val="minMax"/>
        </c:scaling>
        <c:delete val="0"/>
        <c:axPos val="b"/>
        <c:title>
          <c:tx>
            <c:rich>
              <a:bodyPr/>
              <a:lstStyle/>
              <a:p>
                <a:pPr>
                  <a:defRPr/>
                </a:pPr>
                <a:r>
                  <a:rPr lang="en-US"/>
                  <a:t>Age</a:t>
                </a:r>
              </a:p>
            </c:rich>
          </c:tx>
          <c:overlay val="0"/>
        </c:title>
        <c:majorTickMark val="out"/>
        <c:minorTickMark val="none"/>
        <c:tickLblPos val="nextTo"/>
        <c:crossAx val="153189376"/>
        <c:crosses val="autoZero"/>
        <c:auto val="1"/>
        <c:lblAlgn val="ctr"/>
        <c:lblOffset val="100"/>
        <c:noMultiLvlLbl val="0"/>
      </c:catAx>
      <c:valAx>
        <c:axId val="153189376"/>
        <c:scaling>
          <c:orientation val="minMax"/>
        </c:scaling>
        <c:delete val="0"/>
        <c:axPos val="l"/>
        <c:majorGridlines/>
        <c:title>
          <c:tx>
            <c:rich>
              <a:bodyPr rot="-5400000" vert="horz"/>
              <a:lstStyle/>
              <a:p>
                <a:pPr>
                  <a:defRPr/>
                </a:pPr>
                <a:r>
                  <a:rPr lang="en-US"/>
                  <a:t>Opinion</a:t>
                </a:r>
              </a:p>
            </c:rich>
          </c:tx>
          <c:overlay val="0"/>
        </c:title>
        <c:numFmt formatCode="General" sourceLinked="1"/>
        <c:majorTickMark val="out"/>
        <c:minorTickMark val="none"/>
        <c:tickLblPos val="nextTo"/>
        <c:crossAx val="153187456"/>
        <c:crosses val="autoZero"/>
        <c:crossBetween val="between"/>
      </c:valAx>
    </c:plotArea>
    <c:legend>
      <c:legendPos val="r"/>
      <c:overlay val="0"/>
    </c:legend>
    <c:plotVisOnly val="1"/>
    <c:dispBlanksAs val="gap"/>
    <c:showDLblsOverMax val="0"/>
  </c:chart>
  <c:externalData r:id="rId1">
    <c:autoUpdate val="0"/>
  </c:externalData>
  <c:extLst/>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s>
    <c:plotArea>
      <c:layout/>
      <c:barChart>
        <c:barDir val="col"/>
        <c:grouping val="clustered"/>
        <c:varyColors val="0"/>
        <c:ser>
          <c:idx val="0"/>
          <c:order val="0"/>
          <c:tx>
            <c:v>Agree</c:v>
          </c:tx>
          <c:invertIfNegative val="0"/>
          <c:cat>
            <c:strLit>
              <c:ptCount val="2"/>
              <c:pt idx="0">
                <c:v>1</c:v>
              </c:pt>
              <c:pt idx="1">
                <c:v>2</c:v>
              </c:pt>
            </c:strLit>
          </c:cat>
          <c:val>
            <c:numLit>
              <c:formatCode>General</c:formatCode>
              <c:ptCount val="2"/>
              <c:pt idx="0">
                <c:v>0.2</c:v>
              </c:pt>
              <c:pt idx="1">
                <c:v>0.20940170940170941</c:v>
              </c:pt>
            </c:numLit>
          </c:val>
        </c:ser>
        <c:ser>
          <c:idx val="1"/>
          <c:order val="1"/>
          <c:tx>
            <c:v>Disagree</c:v>
          </c:tx>
          <c:invertIfNegative val="0"/>
          <c:cat>
            <c:strLit>
              <c:ptCount val="2"/>
              <c:pt idx="0">
                <c:v>1</c:v>
              </c:pt>
              <c:pt idx="1">
                <c:v>2</c:v>
              </c:pt>
            </c:strLit>
          </c:cat>
          <c:val>
            <c:numLit>
              <c:formatCode>General</c:formatCode>
              <c:ptCount val="2"/>
              <c:pt idx="0">
                <c:v>0.20606060606060606</c:v>
              </c:pt>
              <c:pt idx="1">
                <c:v>0.21794871794871795</c:v>
              </c:pt>
            </c:numLit>
          </c:val>
        </c:ser>
        <c:ser>
          <c:idx val="2"/>
          <c:order val="2"/>
          <c:tx>
            <c:v>Neutral</c:v>
          </c:tx>
          <c:invertIfNegative val="0"/>
          <c:cat>
            <c:strLit>
              <c:ptCount val="2"/>
              <c:pt idx="0">
                <c:v>1</c:v>
              </c:pt>
              <c:pt idx="1">
                <c:v>2</c:v>
              </c:pt>
            </c:strLit>
          </c:cat>
          <c:val>
            <c:numLit>
              <c:formatCode>General</c:formatCode>
              <c:ptCount val="2"/>
              <c:pt idx="0">
                <c:v>0.17575757575757575</c:v>
              </c:pt>
              <c:pt idx="1">
                <c:v>0.16666666666666666</c:v>
              </c:pt>
            </c:numLit>
          </c:val>
        </c:ser>
        <c:ser>
          <c:idx val="3"/>
          <c:order val="3"/>
          <c:tx>
            <c:v>Strongly agree</c:v>
          </c:tx>
          <c:invertIfNegative val="0"/>
          <c:cat>
            <c:strLit>
              <c:ptCount val="2"/>
              <c:pt idx="0">
                <c:v>1</c:v>
              </c:pt>
              <c:pt idx="1">
                <c:v>2</c:v>
              </c:pt>
            </c:strLit>
          </c:cat>
          <c:val>
            <c:numLit>
              <c:formatCode>General</c:formatCode>
              <c:ptCount val="2"/>
              <c:pt idx="0">
                <c:v>0.24242424242424243</c:v>
              </c:pt>
              <c:pt idx="1">
                <c:v>0.19658119658119658</c:v>
              </c:pt>
            </c:numLit>
          </c:val>
        </c:ser>
        <c:ser>
          <c:idx val="4"/>
          <c:order val="4"/>
          <c:tx>
            <c:v>Strongly disagree</c:v>
          </c:tx>
          <c:invertIfNegative val="0"/>
          <c:cat>
            <c:strLit>
              <c:ptCount val="2"/>
              <c:pt idx="0">
                <c:v>1</c:v>
              </c:pt>
              <c:pt idx="1">
                <c:v>2</c:v>
              </c:pt>
            </c:strLit>
          </c:cat>
          <c:val>
            <c:numLit>
              <c:formatCode>General</c:formatCode>
              <c:ptCount val="2"/>
              <c:pt idx="0">
                <c:v>0.17575757575757575</c:v>
              </c:pt>
              <c:pt idx="1">
                <c:v>0.20940170940170941</c:v>
              </c:pt>
            </c:numLit>
          </c:val>
        </c:ser>
        <c:dLbls>
          <c:showLegendKey val="0"/>
          <c:showVal val="0"/>
          <c:showCatName val="0"/>
          <c:showSerName val="0"/>
          <c:showPercent val="0"/>
          <c:showBubbleSize val="0"/>
        </c:dLbls>
        <c:gapWidth val="150"/>
        <c:axId val="153237760"/>
        <c:axId val="153239936"/>
      </c:barChart>
      <c:catAx>
        <c:axId val="153237760"/>
        <c:scaling>
          <c:orientation val="minMax"/>
        </c:scaling>
        <c:delete val="0"/>
        <c:axPos val="b"/>
        <c:title>
          <c:tx>
            <c:rich>
              <a:bodyPr/>
              <a:lstStyle/>
              <a:p>
                <a:pPr>
                  <a:defRPr/>
                </a:pPr>
                <a:r>
                  <a:rPr lang="en-US"/>
                  <a:t>Gender</a:t>
                </a:r>
              </a:p>
            </c:rich>
          </c:tx>
          <c:overlay val="0"/>
        </c:title>
        <c:majorTickMark val="out"/>
        <c:minorTickMark val="none"/>
        <c:tickLblPos val="nextTo"/>
        <c:crossAx val="153239936"/>
        <c:crosses val="autoZero"/>
        <c:auto val="1"/>
        <c:lblAlgn val="ctr"/>
        <c:lblOffset val="100"/>
        <c:noMultiLvlLbl val="0"/>
      </c:catAx>
      <c:valAx>
        <c:axId val="153239936"/>
        <c:scaling>
          <c:orientation val="minMax"/>
        </c:scaling>
        <c:delete val="0"/>
        <c:axPos val="l"/>
        <c:majorGridlines/>
        <c:title>
          <c:tx>
            <c:rich>
              <a:bodyPr rot="-5400000" vert="horz"/>
              <a:lstStyle/>
              <a:p>
                <a:pPr>
                  <a:defRPr/>
                </a:pPr>
                <a:r>
                  <a:rPr lang="en-US"/>
                  <a:t>Opinion</a:t>
                </a:r>
              </a:p>
            </c:rich>
          </c:tx>
          <c:overlay val="0"/>
        </c:title>
        <c:numFmt formatCode="General" sourceLinked="1"/>
        <c:majorTickMark val="out"/>
        <c:minorTickMark val="none"/>
        <c:tickLblPos val="nextTo"/>
        <c:crossAx val="153237760"/>
        <c:crosses val="autoZero"/>
        <c:crossBetween val="between"/>
      </c:valAx>
    </c:plotArea>
    <c:legend>
      <c:legendPos val="r"/>
      <c:overlay val="0"/>
    </c:legend>
    <c:plotVisOnly val="1"/>
    <c:dispBlanksAs val="gap"/>
    <c:showDLblsOverMax val="0"/>
  </c:chart>
  <c:externalData r:id="rId1">
    <c:autoUpdate val="0"/>
  </c:externalData>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11</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ICE</dc:creator>
  <cp:lastModifiedBy>MR. ICE</cp:lastModifiedBy>
  <cp:revision>21</cp:revision>
  <dcterms:created xsi:type="dcterms:W3CDTF">2020-02-04T06:37:00Z</dcterms:created>
  <dcterms:modified xsi:type="dcterms:W3CDTF">2020-02-04T08:26:00Z</dcterms:modified>
</cp:coreProperties>
</file>